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30436" w14:textId="54D5BB5E" w:rsidR="009E646A" w:rsidRPr="009E646A" w:rsidRDefault="009E646A" w:rsidP="009A4085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9E646A">
        <w:rPr>
          <w:rFonts w:ascii="Times New Roman" w:eastAsia="SimSun" w:hAnsi="Times New Roman"/>
          <w:b/>
          <w:sz w:val="24"/>
          <w:lang w:val="en-US" w:eastAsia="zh-CN"/>
        </w:rPr>
        <w:t>3GPP TSG RAN WG1 Meeting #9</w:t>
      </w:r>
      <w:r w:rsidR="005E308E">
        <w:rPr>
          <w:rFonts w:ascii="Times New Roman" w:eastAsia="SimSun" w:hAnsi="Times New Roman"/>
          <w:b/>
          <w:sz w:val="24"/>
          <w:lang w:val="en-US" w:eastAsia="zh-CN"/>
        </w:rPr>
        <w:t>5</w:t>
      </w:r>
      <w:r w:rsidRPr="009E646A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9E646A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8A7D2D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9E646A">
        <w:rPr>
          <w:rFonts w:ascii="Times New Roman" w:eastAsia="SimSun" w:hAnsi="Times New Roman"/>
          <w:b/>
          <w:sz w:val="24"/>
          <w:lang w:val="en-US" w:eastAsia="zh-CN"/>
        </w:rPr>
        <w:t>R1-18</w:t>
      </w:r>
      <w:r w:rsidR="004B04C1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8828B2">
        <w:rPr>
          <w:rFonts w:ascii="Times New Roman" w:eastAsia="SimSun" w:hAnsi="Times New Roman"/>
          <w:b/>
          <w:sz w:val="24"/>
          <w:lang w:val="en-US" w:eastAsia="zh-CN"/>
        </w:rPr>
        <w:t>3217</w:t>
      </w:r>
    </w:p>
    <w:p w14:paraId="03B82E4B" w14:textId="3A2F004F" w:rsidR="00DE2A5F" w:rsidRDefault="00DE2A5F" w:rsidP="009A4085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Spokane</w:t>
      </w:r>
      <w:r w:rsidRPr="009E646A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USA</w:t>
      </w:r>
      <w:r w:rsidRPr="009E646A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November 12</w:t>
      </w:r>
      <w:r w:rsidRPr="0080330B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9E646A">
        <w:rPr>
          <w:rFonts w:ascii="Times New Roman" w:eastAsia="SimSun" w:hAnsi="Times New Roman"/>
          <w:b/>
          <w:sz w:val="24"/>
          <w:lang w:val="en-US" w:eastAsia="zh-CN"/>
        </w:rPr>
        <w:t xml:space="preserve"> – 1</w:t>
      </w:r>
      <w:r>
        <w:rPr>
          <w:rFonts w:ascii="Times New Roman" w:eastAsia="SimSun" w:hAnsi="Times New Roman"/>
          <w:b/>
          <w:sz w:val="24"/>
          <w:lang w:val="en-US" w:eastAsia="zh-CN"/>
        </w:rPr>
        <w:t>6</w:t>
      </w:r>
      <w:r w:rsidRPr="0080330B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9E646A">
        <w:rPr>
          <w:rFonts w:ascii="Times New Roman" w:eastAsia="SimSun" w:hAnsi="Times New Roman"/>
          <w:b/>
          <w:sz w:val="24"/>
          <w:lang w:val="en-US" w:eastAsia="zh-CN"/>
        </w:rPr>
        <w:t>, 2018</w:t>
      </w:r>
    </w:p>
    <w:p w14:paraId="2ED28A93" w14:textId="77777777" w:rsidR="001E0E46" w:rsidRPr="003E7AEB" w:rsidRDefault="001E0E46" w:rsidP="009A4085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659DAD7" w:rsidR="00FA20F7" w:rsidRPr="003E7AEB" w:rsidRDefault="00FA20F7" w:rsidP="009A4085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3E7AEB">
        <w:rPr>
          <w:rFonts w:ascii="Times New Roman" w:hAnsi="Times New Roman"/>
          <w:b/>
          <w:bCs/>
          <w:sz w:val="24"/>
          <w:lang w:val="en-US"/>
        </w:rPr>
        <w:t>Agenda Item:</w:t>
      </w:r>
      <w:r w:rsidRPr="003E7AEB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3E7AEB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3E7AEB">
        <w:rPr>
          <w:rFonts w:ascii="Times New Roman" w:hAnsi="Times New Roman"/>
          <w:b/>
          <w:bCs/>
          <w:sz w:val="24"/>
          <w:lang w:val="en-US"/>
        </w:rPr>
        <w:t>.</w:t>
      </w:r>
      <w:r w:rsidR="001B22DF">
        <w:rPr>
          <w:rFonts w:ascii="Times New Roman" w:hAnsi="Times New Roman"/>
          <w:b/>
          <w:bCs/>
          <w:sz w:val="24"/>
          <w:lang w:val="en-US"/>
        </w:rPr>
        <w:t>2.2</w:t>
      </w:r>
      <w:r w:rsidR="00CE63FF" w:rsidRPr="003E7AEB">
        <w:rPr>
          <w:rFonts w:ascii="Times New Roman" w:hAnsi="Times New Roman"/>
          <w:b/>
          <w:bCs/>
          <w:sz w:val="24"/>
          <w:lang w:val="en-US"/>
        </w:rPr>
        <w:t>.</w:t>
      </w:r>
      <w:r w:rsidR="00E171C7" w:rsidRPr="003E7AEB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1E2F458" w:rsidR="00FA20F7" w:rsidRPr="003E7AEB" w:rsidRDefault="0092027E" w:rsidP="009A408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b/>
          <w:bCs/>
          <w:sz w:val="24"/>
        </w:rPr>
      </w:pPr>
      <w:r w:rsidRPr="003E7AEB">
        <w:rPr>
          <w:rFonts w:ascii="Times New Roman" w:hAnsi="Times New Roman" w:cs="Times New Roman"/>
          <w:b/>
          <w:bCs/>
          <w:sz w:val="24"/>
        </w:rPr>
        <w:t>Source:</w:t>
      </w:r>
      <w:r w:rsidRPr="003E7AEB">
        <w:rPr>
          <w:rFonts w:ascii="Times New Roman" w:hAnsi="Times New Roman" w:cs="Times New Roman"/>
          <w:b/>
          <w:bCs/>
          <w:sz w:val="24"/>
        </w:rPr>
        <w:tab/>
        <w:t>InterDigital</w:t>
      </w:r>
      <w:r w:rsidR="00E17A3B" w:rsidRPr="003E7AEB">
        <w:rPr>
          <w:rFonts w:ascii="Times New Roman" w:hAnsi="Times New Roman" w:cs="Times New Roman"/>
          <w:b/>
          <w:bCs/>
          <w:sz w:val="24"/>
        </w:rPr>
        <w:t xml:space="preserve"> </w:t>
      </w:r>
      <w:r w:rsidR="001E0E46" w:rsidRPr="003E7AEB">
        <w:rPr>
          <w:rFonts w:ascii="Times New Roman" w:hAnsi="Times New Roman" w:cs="Times New Roman"/>
          <w:b/>
          <w:bCs/>
          <w:sz w:val="24"/>
        </w:rPr>
        <w:t>Inc.</w:t>
      </w:r>
    </w:p>
    <w:p w14:paraId="4F02292E" w14:textId="6030DD54" w:rsidR="00FA20F7" w:rsidRPr="003E7AEB" w:rsidRDefault="00FA20F7" w:rsidP="009A4085">
      <w:pPr>
        <w:spacing w:after="0"/>
        <w:ind w:left="1985" w:hanging="1985"/>
        <w:jc w:val="both"/>
        <w:rPr>
          <w:rFonts w:ascii="Times New Roman" w:hAnsi="Times New Roman" w:cs="Times New Roman"/>
          <w:b/>
          <w:bCs/>
        </w:rPr>
      </w:pPr>
      <w:r w:rsidRPr="003E7AEB">
        <w:rPr>
          <w:rFonts w:ascii="Times New Roman" w:hAnsi="Times New Roman" w:cs="Times New Roman"/>
          <w:b/>
          <w:bCs/>
          <w:sz w:val="24"/>
        </w:rPr>
        <w:t>Title:</w:t>
      </w:r>
      <w:r w:rsidRPr="003E7AEB">
        <w:rPr>
          <w:rFonts w:ascii="Times New Roman" w:hAnsi="Times New Roman" w:cs="Times New Roman"/>
          <w:b/>
          <w:bCs/>
          <w:sz w:val="24"/>
        </w:rPr>
        <w:tab/>
      </w:r>
      <w:r w:rsidR="00710B85" w:rsidRPr="003E7AEB">
        <w:rPr>
          <w:rFonts w:ascii="Times New Roman" w:hAnsi="Times New Roman" w:cs="Times New Roman"/>
          <w:b/>
          <w:bCs/>
          <w:sz w:val="24"/>
        </w:rPr>
        <w:t>NR-U</w:t>
      </w:r>
      <w:r w:rsidR="00FB60C3">
        <w:rPr>
          <w:rFonts w:ascii="Times New Roman" w:hAnsi="Times New Roman" w:cs="Times New Roman"/>
          <w:b/>
          <w:bCs/>
          <w:sz w:val="24"/>
        </w:rPr>
        <w:t xml:space="preserve"> </w:t>
      </w:r>
      <w:r w:rsidR="00710B85" w:rsidRPr="003E7AEB">
        <w:rPr>
          <w:rFonts w:ascii="Times New Roman" w:hAnsi="Times New Roman" w:cs="Times New Roman"/>
          <w:b/>
          <w:bCs/>
          <w:sz w:val="24"/>
        </w:rPr>
        <w:t>Frame Structure</w:t>
      </w:r>
      <w:r w:rsidR="009E646A">
        <w:rPr>
          <w:rFonts w:ascii="Times New Roman" w:hAnsi="Times New Roman" w:cs="Times New Roman"/>
          <w:b/>
          <w:bCs/>
          <w:sz w:val="24"/>
        </w:rPr>
        <w:t xml:space="preserve"> </w:t>
      </w:r>
      <w:r w:rsidR="004B04C1">
        <w:rPr>
          <w:rFonts w:ascii="Times New Roman" w:hAnsi="Times New Roman" w:cs="Times New Roman"/>
          <w:b/>
          <w:bCs/>
          <w:sz w:val="24"/>
        </w:rPr>
        <w:t>Design</w:t>
      </w:r>
    </w:p>
    <w:p w14:paraId="20F2A3ED" w14:textId="48C0346C" w:rsidR="00FA20F7" w:rsidRPr="003E7AEB" w:rsidRDefault="00A51E32" w:rsidP="009A4085">
      <w:pPr>
        <w:spacing w:after="0"/>
        <w:ind w:left="1985" w:hanging="1985"/>
        <w:jc w:val="both"/>
        <w:rPr>
          <w:rFonts w:ascii="Times New Roman" w:hAnsi="Times New Roman" w:cs="Times New Roman"/>
          <w:b/>
          <w:bCs/>
          <w:sz w:val="24"/>
        </w:rPr>
      </w:pPr>
      <w:r w:rsidRPr="003E7AEB">
        <w:rPr>
          <w:rFonts w:ascii="Times New Roman" w:hAnsi="Times New Roman" w:cs="Times New Roman"/>
          <w:b/>
          <w:bCs/>
          <w:sz w:val="24"/>
        </w:rPr>
        <w:t>Document for:</w:t>
      </w:r>
      <w:r w:rsidRPr="003E7AEB">
        <w:rPr>
          <w:rFonts w:ascii="Times New Roman" w:hAnsi="Times New Roman" w:cs="Times New Roman"/>
          <w:b/>
          <w:bCs/>
          <w:sz w:val="24"/>
        </w:rPr>
        <w:tab/>
        <w:t>Discussion</w:t>
      </w:r>
      <w:r w:rsidR="00CD15BB" w:rsidRPr="003E7AEB">
        <w:rPr>
          <w:rFonts w:ascii="Times New Roman" w:hAnsi="Times New Roman" w:cs="Times New Roman"/>
          <w:b/>
          <w:bCs/>
          <w:sz w:val="24"/>
        </w:rPr>
        <w:t xml:space="preserve"> and Decision</w:t>
      </w:r>
    </w:p>
    <w:p w14:paraId="45A92109" w14:textId="77777777" w:rsidR="00261A3A" w:rsidRPr="003E7AEB" w:rsidRDefault="00A35469" w:rsidP="006232BE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 w:rsidRPr="003E7AEB">
        <w:rPr>
          <w:rFonts w:ascii="Times New Roman" w:hAnsi="Times New Roman"/>
          <w:b/>
          <w:sz w:val="32"/>
          <w:szCs w:val="32"/>
        </w:rPr>
        <w:t>Introduction</w:t>
      </w:r>
    </w:p>
    <w:p w14:paraId="230A668E" w14:textId="493D953E" w:rsidR="00684522" w:rsidRPr="003E7AEB" w:rsidRDefault="00C27B5A" w:rsidP="006232BE">
      <w:pPr>
        <w:jc w:val="both"/>
        <w:rPr>
          <w:rFonts w:ascii="Times New Roman" w:hAnsi="Times New Roman" w:cs="Times New Roman"/>
        </w:rPr>
      </w:pPr>
      <w:r w:rsidRPr="003E7AEB">
        <w:rPr>
          <w:rFonts w:ascii="Times New Roman" w:hAnsi="Times New Roman" w:cs="Times New Roman"/>
        </w:rPr>
        <w:t>In RAN</w:t>
      </w:r>
      <w:r w:rsidR="006232BE" w:rsidRPr="003E7AEB">
        <w:rPr>
          <w:rFonts w:ascii="Times New Roman" w:hAnsi="Times New Roman" w:cs="Times New Roman"/>
        </w:rPr>
        <w:t>1</w:t>
      </w:r>
      <w:r w:rsidRPr="003E7AEB">
        <w:rPr>
          <w:rFonts w:ascii="Times New Roman" w:hAnsi="Times New Roman" w:cs="Times New Roman"/>
        </w:rPr>
        <w:t>#</w:t>
      </w:r>
      <w:r w:rsidR="00684522" w:rsidRPr="003E7AEB">
        <w:rPr>
          <w:rFonts w:ascii="Times New Roman" w:hAnsi="Times New Roman" w:cs="Times New Roman"/>
        </w:rPr>
        <w:t>9</w:t>
      </w:r>
      <w:r w:rsidR="00A86A4B">
        <w:rPr>
          <w:rFonts w:ascii="Times New Roman" w:hAnsi="Times New Roman" w:cs="Times New Roman"/>
        </w:rPr>
        <w:t>4</w:t>
      </w:r>
      <w:r w:rsidRPr="003E7AEB">
        <w:rPr>
          <w:rFonts w:ascii="Times New Roman" w:hAnsi="Times New Roman" w:cs="Times New Roman"/>
        </w:rPr>
        <w:t xml:space="preserve"> meeting</w:t>
      </w:r>
      <w:r w:rsidR="005D56F1" w:rsidRPr="003E7AEB">
        <w:rPr>
          <w:rFonts w:ascii="Times New Roman" w:hAnsi="Times New Roman" w:cs="Times New Roman"/>
        </w:rPr>
        <w:t xml:space="preserve"> [1]</w:t>
      </w:r>
      <w:r w:rsidRPr="003E7AEB">
        <w:rPr>
          <w:rFonts w:ascii="Times New Roman" w:hAnsi="Times New Roman" w:cs="Times New Roman"/>
        </w:rPr>
        <w:t xml:space="preserve">, </w:t>
      </w:r>
      <w:r w:rsidR="00684522" w:rsidRPr="003E7AEB">
        <w:rPr>
          <w:rFonts w:ascii="Times New Roman" w:hAnsi="Times New Roman" w:cs="Times New Roman"/>
        </w:rPr>
        <w:t xml:space="preserve">the following agreement </w:t>
      </w:r>
      <w:r w:rsidR="00D47417">
        <w:rPr>
          <w:rFonts w:ascii="Times New Roman" w:hAnsi="Times New Roman" w:cs="Times New Roman"/>
        </w:rPr>
        <w:t xml:space="preserve">was </w:t>
      </w:r>
      <w:r w:rsidR="00684522" w:rsidRPr="003E7AEB">
        <w:rPr>
          <w:rFonts w:ascii="Times New Roman" w:hAnsi="Times New Roman" w:cs="Times New Roman"/>
        </w:rPr>
        <w:t>reached:</w:t>
      </w:r>
    </w:p>
    <w:p w14:paraId="6E7929C3" w14:textId="77777777" w:rsidR="00A86A4B" w:rsidRPr="007E1352" w:rsidRDefault="00A86A4B" w:rsidP="009A4085">
      <w:pPr>
        <w:spacing w:after="0"/>
        <w:rPr>
          <w:rFonts w:ascii="Times New Roman" w:hAnsi="Times New Roman" w:cs="Times New Roman"/>
          <w:lang w:eastAsia="x-none"/>
        </w:rPr>
      </w:pPr>
      <w:r w:rsidRPr="007E1352">
        <w:rPr>
          <w:rFonts w:ascii="Times New Roman" w:hAnsi="Times New Roman" w:cs="Times New Roman"/>
          <w:highlight w:val="green"/>
          <w:lang w:eastAsia="x-none"/>
        </w:rPr>
        <w:t>Agreement:</w:t>
      </w:r>
    </w:p>
    <w:p w14:paraId="39440F48" w14:textId="77777777" w:rsidR="00A86A4B" w:rsidRPr="007E1352" w:rsidRDefault="00A86A4B" w:rsidP="00A86A4B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7E1352">
        <w:rPr>
          <w:rFonts w:ascii="Times New Roman" w:hAnsi="Times New Roman" w:cs="Times New Roman"/>
          <w:lang w:eastAsia="x-none"/>
        </w:rPr>
        <w:t>It is identified that being able to operate all DL signal/channels with the same numerology for a carrier and at least for intra-band CA on serving cells on unlicensed bands has at least the following benefits (at least for standalone operation, FFS whether this is benefit is realizable for inter-operator measurements)</w:t>
      </w:r>
    </w:p>
    <w:p w14:paraId="030B174D" w14:textId="77777777" w:rsidR="00A86A4B" w:rsidRPr="007E1352" w:rsidRDefault="00A86A4B" w:rsidP="00A86A4B">
      <w:pPr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7E1352">
        <w:rPr>
          <w:rFonts w:ascii="Times New Roman" w:hAnsi="Times New Roman" w:cs="Times New Roman"/>
          <w:lang w:eastAsia="x-none"/>
        </w:rPr>
        <w:t>Lower implementation complexity (e.g., a single FFT, no switching gaps)</w:t>
      </w:r>
    </w:p>
    <w:p w14:paraId="5B8985CA" w14:textId="77777777" w:rsidR="00A86A4B" w:rsidRPr="007E1352" w:rsidRDefault="00A86A4B" w:rsidP="00A86A4B">
      <w:pPr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7E1352">
        <w:rPr>
          <w:rFonts w:ascii="Times New Roman" w:hAnsi="Times New Roman" w:cs="Times New Roman"/>
          <w:lang w:eastAsia="x-none"/>
        </w:rPr>
        <w:t>Lower specification impact</w:t>
      </w:r>
    </w:p>
    <w:p w14:paraId="45DE85A7" w14:textId="77777777" w:rsidR="00A86A4B" w:rsidRPr="007E1352" w:rsidRDefault="00A86A4B" w:rsidP="00A86A4B">
      <w:pPr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7E1352">
        <w:rPr>
          <w:rFonts w:ascii="Times New Roman" w:hAnsi="Times New Roman" w:cs="Times New Roman"/>
          <w:lang w:eastAsia="x-none"/>
        </w:rPr>
        <w:t>No need for gaps for measurements on frequencies with a configured serving cell in unlicensed bands</w:t>
      </w:r>
    </w:p>
    <w:p w14:paraId="04BA3E66" w14:textId="77777777" w:rsidR="00A86A4B" w:rsidRPr="007E1352" w:rsidRDefault="00A86A4B" w:rsidP="00A86A4B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7E1352">
        <w:rPr>
          <w:rFonts w:ascii="Times New Roman" w:hAnsi="Times New Roman" w:cs="Times New Roman"/>
          <w:lang w:eastAsia="x-none"/>
        </w:rPr>
        <w:t xml:space="preserve">It is identified that being able to operate all UL signal/channels with the same numerology for a carrier and at least for intra-band CA on serving cells on unlicensed bands has at least the following benefits </w:t>
      </w:r>
    </w:p>
    <w:p w14:paraId="77F883A7" w14:textId="77777777" w:rsidR="00A86A4B" w:rsidRPr="007E1352" w:rsidRDefault="00A86A4B" w:rsidP="00A86A4B">
      <w:pPr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7E1352">
        <w:rPr>
          <w:rFonts w:ascii="Times New Roman" w:hAnsi="Times New Roman" w:cs="Times New Roman"/>
          <w:lang w:eastAsia="x-none"/>
        </w:rPr>
        <w:t>Lower implementation complexity (e.g., a single FFT, no switching gaps)</w:t>
      </w:r>
    </w:p>
    <w:p w14:paraId="13DF8B24" w14:textId="77777777" w:rsidR="00A86A4B" w:rsidRPr="007E1352" w:rsidRDefault="00A86A4B" w:rsidP="00A86A4B">
      <w:pPr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7E1352">
        <w:rPr>
          <w:rFonts w:ascii="Times New Roman" w:hAnsi="Times New Roman" w:cs="Times New Roman"/>
          <w:lang w:eastAsia="x-none"/>
        </w:rPr>
        <w:t>Lower specification impact</w:t>
      </w:r>
    </w:p>
    <w:p w14:paraId="01E9A618" w14:textId="77777777" w:rsidR="00A86A4B" w:rsidRPr="007E1352" w:rsidRDefault="00A86A4B" w:rsidP="00A86A4B">
      <w:pPr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7E1352">
        <w:rPr>
          <w:rFonts w:ascii="Times New Roman" w:hAnsi="Times New Roman" w:cs="Times New Roman"/>
          <w:lang w:eastAsia="x-none"/>
        </w:rPr>
        <w:t>Common interlace structure</w:t>
      </w:r>
    </w:p>
    <w:p w14:paraId="7B959B2A" w14:textId="77777777" w:rsidR="00A86A4B" w:rsidRPr="007E1352" w:rsidRDefault="00A86A4B" w:rsidP="00A86A4B">
      <w:pPr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7E1352">
        <w:rPr>
          <w:rFonts w:ascii="Times New Roman" w:hAnsi="Times New Roman" w:cs="Times New Roman"/>
          <w:lang w:eastAsia="x-none"/>
        </w:rPr>
        <w:t>No need for gaps for transmission of SRS on a configured serving cell in unlicensed bands</w:t>
      </w:r>
    </w:p>
    <w:p w14:paraId="356EA028" w14:textId="77777777" w:rsidR="00A86A4B" w:rsidRPr="007E1352" w:rsidRDefault="00A86A4B" w:rsidP="00A86A4B">
      <w:pPr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7E1352">
        <w:rPr>
          <w:rFonts w:ascii="Times New Roman" w:hAnsi="Times New Roman" w:cs="Times New Roman"/>
          <w:lang w:eastAsia="x-none"/>
        </w:rPr>
        <w:t>FFS: PRACH benefits</w:t>
      </w:r>
    </w:p>
    <w:p w14:paraId="7002FFB6" w14:textId="77777777" w:rsidR="00A86A4B" w:rsidRPr="007E1352" w:rsidRDefault="00A86A4B" w:rsidP="00A86A4B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7E1352">
        <w:rPr>
          <w:rFonts w:ascii="Times New Roman" w:hAnsi="Times New Roman" w:cs="Times New Roman"/>
          <w:lang w:eastAsia="x-none"/>
        </w:rPr>
        <w:t>FFS: same numerology for DL and UL considering switching gap</w:t>
      </w:r>
    </w:p>
    <w:p w14:paraId="5A5D3BBF" w14:textId="58BBB13F" w:rsidR="00A86A4B" w:rsidRDefault="00A86A4B" w:rsidP="000F25E9">
      <w:pPr>
        <w:pStyle w:val="bullet"/>
        <w:numPr>
          <w:ilvl w:val="0"/>
          <w:numId w:val="0"/>
        </w:numPr>
        <w:rPr>
          <w:rFonts w:ascii="Times New Roman" w:hAnsi="Times New Roman"/>
          <w:sz w:val="22"/>
          <w:highlight w:val="green"/>
          <w:lang w:val="en-GB"/>
        </w:rPr>
      </w:pPr>
    </w:p>
    <w:p w14:paraId="0F6AB3AC" w14:textId="78CE9F40" w:rsidR="00D80771" w:rsidRPr="003E7AEB" w:rsidRDefault="00D80771" w:rsidP="00D80771">
      <w:pPr>
        <w:jc w:val="both"/>
        <w:rPr>
          <w:rFonts w:ascii="Times New Roman" w:hAnsi="Times New Roman" w:cs="Times New Roman"/>
        </w:rPr>
      </w:pPr>
      <w:r w:rsidRPr="003E7AEB">
        <w:rPr>
          <w:rFonts w:ascii="Times New Roman" w:hAnsi="Times New Roman" w:cs="Times New Roman"/>
        </w:rPr>
        <w:t>In RAN1#9</w:t>
      </w:r>
      <w:r w:rsidR="005E308E">
        <w:rPr>
          <w:rFonts w:ascii="Times New Roman" w:hAnsi="Times New Roman" w:cs="Times New Roman"/>
        </w:rPr>
        <w:t>4b</w:t>
      </w:r>
      <w:r w:rsidRPr="003E7AEB">
        <w:rPr>
          <w:rFonts w:ascii="Times New Roman" w:hAnsi="Times New Roman" w:cs="Times New Roman"/>
        </w:rPr>
        <w:t xml:space="preserve"> meeting [</w:t>
      </w:r>
      <w:r w:rsidR="005E308E">
        <w:rPr>
          <w:rFonts w:ascii="Times New Roman" w:hAnsi="Times New Roman" w:cs="Times New Roman"/>
        </w:rPr>
        <w:t>2</w:t>
      </w:r>
      <w:r w:rsidRPr="003E7AEB">
        <w:rPr>
          <w:rFonts w:ascii="Times New Roman" w:hAnsi="Times New Roman" w:cs="Times New Roman"/>
        </w:rPr>
        <w:t xml:space="preserve">], the following agreement </w:t>
      </w:r>
      <w:r>
        <w:rPr>
          <w:rFonts w:ascii="Times New Roman" w:hAnsi="Times New Roman" w:cs="Times New Roman"/>
        </w:rPr>
        <w:t>w</w:t>
      </w:r>
      <w:r w:rsidR="003679A9">
        <w:rPr>
          <w:rFonts w:ascii="Times New Roman" w:hAnsi="Times New Roman" w:cs="Times New Roman"/>
        </w:rPr>
        <w:t>ere</w:t>
      </w:r>
      <w:r>
        <w:rPr>
          <w:rFonts w:ascii="Times New Roman" w:hAnsi="Times New Roman" w:cs="Times New Roman"/>
        </w:rPr>
        <w:t xml:space="preserve"> </w:t>
      </w:r>
      <w:r w:rsidRPr="003E7AEB">
        <w:rPr>
          <w:rFonts w:ascii="Times New Roman" w:hAnsi="Times New Roman" w:cs="Times New Roman"/>
        </w:rPr>
        <w:t>reached:</w:t>
      </w:r>
    </w:p>
    <w:p w14:paraId="688896F8" w14:textId="77777777" w:rsidR="00D80771" w:rsidRPr="00D80771" w:rsidRDefault="00D80771" w:rsidP="00D80771">
      <w:pPr>
        <w:spacing w:after="0"/>
        <w:rPr>
          <w:rFonts w:ascii="Times New Roman" w:hAnsi="Times New Roman" w:cs="Times New Roman"/>
          <w:lang w:eastAsia="x-none"/>
        </w:rPr>
      </w:pPr>
      <w:r w:rsidRPr="00D80771">
        <w:rPr>
          <w:rFonts w:ascii="Times New Roman" w:hAnsi="Times New Roman" w:cs="Times New Roman"/>
          <w:highlight w:val="green"/>
          <w:lang w:eastAsia="x-none"/>
        </w:rPr>
        <w:t>Agreement:</w:t>
      </w:r>
    </w:p>
    <w:p w14:paraId="5B149BDB" w14:textId="77777777" w:rsidR="00D80771" w:rsidRPr="00D80771" w:rsidRDefault="00D80771" w:rsidP="00D80771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D80771">
        <w:rPr>
          <w:rFonts w:ascii="Times New Roman" w:hAnsi="Times New Roman" w:cs="Times New Roman"/>
          <w:lang w:eastAsia="x-none"/>
        </w:rPr>
        <w:t>NR-U should support that a serving cell can be configured with bandwidth larger than 20 MHz.</w:t>
      </w:r>
    </w:p>
    <w:p w14:paraId="40AC12C0" w14:textId="77777777" w:rsidR="00D80771" w:rsidRPr="00D80771" w:rsidRDefault="00D80771" w:rsidP="00D80771">
      <w:pPr>
        <w:numPr>
          <w:ilvl w:val="1"/>
          <w:numId w:val="29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D80771">
        <w:rPr>
          <w:rFonts w:ascii="Times New Roman" w:hAnsi="Times New Roman" w:cs="Times New Roman"/>
          <w:lang w:eastAsia="x-none"/>
        </w:rPr>
        <w:t>For DL operation, the following options for BWP-based operation within a carrier with bandwidth larger than 20 MHz can be considered.</w:t>
      </w:r>
    </w:p>
    <w:p w14:paraId="245822B3" w14:textId="77777777" w:rsidR="00D80771" w:rsidRPr="00D80771" w:rsidRDefault="00D80771" w:rsidP="00D80771">
      <w:pPr>
        <w:numPr>
          <w:ilvl w:val="2"/>
          <w:numId w:val="29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D80771">
        <w:rPr>
          <w:rFonts w:ascii="Times New Roman" w:hAnsi="Times New Roman" w:cs="Times New Roman"/>
          <w:lang w:eastAsia="x-none"/>
        </w:rPr>
        <w:t>Option 1a: Multiple BWPs configured, multiple BWPs activated, transmission of PDSCH on one or more BWPs</w:t>
      </w:r>
    </w:p>
    <w:p w14:paraId="6437E36C" w14:textId="77777777" w:rsidR="00D80771" w:rsidRPr="00D80771" w:rsidRDefault="00D80771" w:rsidP="00D80771">
      <w:pPr>
        <w:numPr>
          <w:ilvl w:val="2"/>
          <w:numId w:val="29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D80771">
        <w:rPr>
          <w:rFonts w:ascii="Times New Roman" w:hAnsi="Times New Roman" w:cs="Times New Roman"/>
          <w:lang w:eastAsia="x-none"/>
        </w:rPr>
        <w:t>Option 1b: Multiple BWPs configured, multiple BWPs activated, transmission of PDSCH on single BWP</w:t>
      </w:r>
    </w:p>
    <w:p w14:paraId="4F1CA17E" w14:textId="77777777" w:rsidR="00D80771" w:rsidRPr="00D80771" w:rsidRDefault="00D80771" w:rsidP="00D80771">
      <w:pPr>
        <w:numPr>
          <w:ilvl w:val="2"/>
          <w:numId w:val="29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D80771">
        <w:rPr>
          <w:rFonts w:ascii="Times New Roman" w:hAnsi="Times New Roman" w:cs="Times New Roman"/>
          <w:lang w:eastAsia="x-none"/>
        </w:rPr>
        <w:t>Option 2: Multiple BWPs can be configured, single BWP activated, gNB transmits PDSCH on a single BWP if CCA is successful at gNB for the whole BWP</w:t>
      </w:r>
    </w:p>
    <w:p w14:paraId="186C30E6" w14:textId="77777777" w:rsidR="00D80771" w:rsidRPr="00D80771" w:rsidRDefault="00D80771" w:rsidP="00D80771">
      <w:pPr>
        <w:numPr>
          <w:ilvl w:val="2"/>
          <w:numId w:val="29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D80771">
        <w:rPr>
          <w:rFonts w:ascii="Times New Roman" w:hAnsi="Times New Roman" w:cs="Times New Roman"/>
          <w:lang w:eastAsia="x-none"/>
        </w:rPr>
        <w:t>Option 3: Multiple BWPs can be configured, single BWP activated, gNB transmits PDSCH on parts or whole of single BWP where CCA is successful at gNB</w:t>
      </w:r>
    </w:p>
    <w:p w14:paraId="099C9E08" w14:textId="77777777" w:rsidR="00D80771" w:rsidRPr="00D80771" w:rsidRDefault="00D80771" w:rsidP="00D80771">
      <w:pPr>
        <w:numPr>
          <w:ilvl w:val="1"/>
          <w:numId w:val="29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D80771">
        <w:rPr>
          <w:rFonts w:ascii="Times New Roman" w:hAnsi="Times New Roman" w:cs="Times New Roman"/>
          <w:lang w:eastAsia="x-none"/>
        </w:rPr>
        <w:t>Note: CCA is declared to be successful or not in multiples of 20 MHz.</w:t>
      </w:r>
    </w:p>
    <w:p w14:paraId="58674E67" w14:textId="77777777" w:rsidR="00D80771" w:rsidRPr="00D80771" w:rsidRDefault="00D80771" w:rsidP="00D80771">
      <w:pPr>
        <w:numPr>
          <w:ilvl w:val="1"/>
          <w:numId w:val="29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D80771">
        <w:rPr>
          <w:rFonts w:ascii="Times New Roman" w:hAnsi="Times New Roman" w:cs="Times New Roman"/>
          <w:lang w:eastAsia="x-none"/>
        </w:rPr>
        <w:t>FFS for UL operation including some or all of above options can be applied</w:t>
      </w:r>
    </w:p>
    <w:p w14:paraId="0E37B9C9" w14:textId="77777777" w:rsidR="00D80771" w:rsidRPr="00D80771" w:rsidRDefault="00D80771" w:rsidP="00D80771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D80771">
        <w:rPr>
          <w:rFonts w:ascii="Times New Roman" w:hAnsi="Times New Roman" w:cs="Times New Roman"/>
          <w:lang w:eastAsia="x-none"/>
        </w:rPr>
        <w:t>Note: Capture the following in TR only after further discussion for down-selecting from the options in RAN1#95.</w:t>
      </w:r>
    </w:p>
    <w:p w14:paraId="0ADF0ADF" w14:textId="77777777" w:rsidR="00D80771" w:rsidRPr="00D80771" w:rsidRDefault="00D80771" w:rsidP="00D80771">
      <w:pPr>
        <w:spacing w:after="0"/>
        <w:rPr>
          <w:rFonts w:ascii="Times New Roman" w:hAnsi="Times New Roman" w:cs="Times New Roman"/>
          <w:lang w:eastAsia="x-none"/>
        </w:rPr>
      </w:pPr>
    </w:p>
    <w:p w14:paraId="5257B0C3" w14:textId="77777777" w:rsidR="00B1504B" w:rsidRPr="00B1504B" w:rsidRDefault="00B1504B" w:rsidP="009A4085">
      <w:pPr>
        <w:spacing w:after="0"/>
        <w:rPr>
          <w:rFonts w:ascii="Times New Roman" w:hAnsi="Times New Roman" w:cs="Times New Roman"/>
          <w:lang w:eastAsia="x-none"/>
        </w:rPr>
      </w:pPr>
      <w:r w:rsidRPr="00B1504B">
        <w:rPr>
          <w:rFonts w:ascii="Times New Roman" w:hAnsi="Times New Roman" w:cs="Times New Roman"/>
          <w:highlight w:val="green"/>
          <w:lang w:eastAsia="x-none"/>
        </w:rPr>
        <w:t>Agreement:</w:t>
      </w:r>
    </w:p>
    <w:p w14:paraId="09250A1A" w14:textId="77777777" w:rsidR="00B1504B" w:rsidRPr="00B1504B" w:rsidRDefault="00B1504B" w:rsidP="00B1504B">
      <w:pPr>
        <w:rPr>
          <w:rFonts w:ascii="Times New Roman" w:hAnsi="Times New Roman" w:cs="Times New Roman"/>
          <w:lang w:eastAsia="x-none"/>
        </w:rPr>
      </w:pPr>
      <w:r w:rsidRPr="00B1504B">
        <w:rPr>
          <w:rFonts w:ascii="Times New Roman" w:hAnsi="Times New Roman" w:cs="Times New Roman"/>
          <w:lang w:eastAsia="x-none"/>
        </w:rPr>
        <w:t>It has been identified to be beneficial for the NR-U design to not require the gNB to change a pre-determined TBS for a PDSCH transmission depending on the LBT outcome, at least when the PDSCH is transmitted at the beginning of the gNB’s COT.</w:t>
      </w:r>
    </w:p>
    <w:p w14:paraId="63A2DCE1" w14:textId="77777777" w:rsidR="00B1504B" w:rsidRPr="00B1504B" w:rsidRDefault="00B1504B" w:rsidP="009A4085">
      <w:pPr>
        <w:spacing w:after="0"/>
        <w:rPr>
          <w:rFonts w:ascii="Times New Roman" w:hAnsi="Times New Roman" w:cs="Times New Roman"/>
          <w:lang w:eastAsia="x-none"/>
        </w:rPr>
      </w:pPr>
      <w:r w:rsidRPr="00B1504B">
        <w:rPr>
          <w:rFonts w:ascii="Times New Roman" w:hAnsi="Times New Roman" w:cs="Times New Roman"/>
          <w:highlight w:val="green"/>
          <w:lang w:eastAsia="x-none"/>
        </w:rPr>
        <w:lastRenderedPageBreak/>
        <w:t>Agreement:</w:t>
      </w:r>
    </w:p>
    <w:p w14:paraId="7A00866A" w14:textId="77777777" w:rsidR="00B1504B" w:rsidRPr="00B1504B" w:rsidRDefault="00B1504B" w:rsidP="00B1504B">
      <w:pPr>
        <w:rPr>
          <w:rFonts w:ascii="Times New Roman" w:hAnsi="Times New Roman" w:cs="Times New Roman"/>
          <w:lang w:eastAsia="x-none"/>
        </w:rPr>
      </w:pPr>
      <w:r w:rsidRPr="00B1504B">
        <w:rPr>
          <w:rFonts w:ascii="Times New Roman" w:hAnsi="Times New Roman" w:cs="Times New Roman"/>
          <w:lang w:eastAsia="x-none"/>
        </w:rPr>
        <w:t>The following options have been identified as possible candidates for PDSCH transmission in the partial slot at least for the first PDSCH(s) transmitted in the DL transmission burst.</w:t>
      </w:r>
    </w:p>
    <w:p w14:paraId="0131992E" w14:textId="77777777" w:rsidR="00B1504B" w:rsidRPr="00B1504B" w:rsidRDefault="00B1504B" w:rsidP="00B1504B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B1504B">
        <w:rPr>
          <w:rFonts w:ascii="Times New Roman" w:hAnsi="Times New Roman" w:cs="Times New Roman"/>
          <w:lang w:eastAsia="x-none"/>
        </w:rPr>
        <w:t>Option 1: PDSCH(s) as in Rel-15 NR</w:t>
      </w:r>
    </w:p>
    <w:p w14:paraId="66CE392C" w14:textId="77777777" w:rsidR="00B1504B" w:rsidRPr="00B1504B" w:rsidRDefault="00B1504B" w:rsidP="00B1504B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B1504B">
        <w:rPr>
          <w:rFonts w:ascii="Times New Roman" w:hAnsi="Times New Roman" w:cs="Times New Roman"/>
          <w:lang w:eastAsia="x-none"/>
        </w:rPr>
        <w:t>Option 2: Punctured PDSCH depending on LBT outcome</w:t>
      </w:r>
    </w:p>
    <w:p w14:paraId="1074476C" w14:textId="77777777" w:rsidR="00B1504B" w:rsidRPr="00B1504B" w:rsidRDefault="00B1504B" w:rsidP="00B1504B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B1504B">
        <w:rPr>
          <w:rFonts w:ascii="Times New Roman" w:hAnsi="Times New Roman" w:cs="Times New Roman"/>
          <w:lang w:eastAsia="x-none"/>
        </w:rPr>
        <w:t>Option 3: PDSCH mapping type B with durations other than 2/4/7 symbols</w:t>
      </w:r>
    </w:p>
    <w:p w14:paraId="57E4B188" w14:textId="77777777" w:rsidR="00B1504B" w:rsidRPr="00B1504B" w:rsidRDefault="00B1504B" w:rsidP="00B1504B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B1504B">
        <w:rPr>
          <w:rFonts w:ascii="Times New Roman" w:hAnsi="Times New Roman" w:cs="Times New Roman"/>
          <w:lang w:eastAsia="x-none"/>
        </w:rPr>
        <w:t>Option 4: PDSCH across slot boundary</w:t>
      </w:r>
    </w:p>
    <w:p w14:paraId="7B7B8A31" w14:textId="77777777" w:rsidR="00B1504B" w:rsidRPr="00B1504B" w:rsidRDefault="00B1504B" w:rsidP="00B1504B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B1504B">
        <w:rPr>
          <w:rFonts w:ascii="Times New Roman" w:hAnsi="Times New Roman" w:cs="Times New Roman"/>
          <w:lang w:eastAsia="x-none"/>
        </w:rPr>
        <w:t>FFS for signalling details, specification impact, implementation complexity</w:t>
      </w:r>
    </w:p>
    <w:p w14:paraId="4D716732" w14:textId="77777777" w:rsidR="00B1504B" w:rsidRPr="00B1504B" w:rsidRDefault="00B1504B" w:rsidP="00B1504B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lang w:eastAsia="x-none"/>
        </w:rPr>
      </w:pPr>
      <w:r w:rsidRPr="00B1504B">
        <w:rPr>
          <w:rFonts w:ascii="Times New Roman" w:hAnsi="Times New Roman" w:cs="Times New Roman"/>
          <w:lang w:eastAsia="x-none"/>
        </w:rPr>
        <w:t>Note: Above options are not mutually exclusive.</w:t>
      </w:r>
    </w:p>
    <w:p w14:paraId="28825F93" w14:textId="77777777" w:rsidR="00910EAF" w:rsidRDefault="00910EAF" w:rsidP="006232BE">
      <w:pPr>
        <w:jc w:val="both"/>
        <w:rPr>
          <w:rFonts w:ascii="Times New Roman" w:hAnsi="Times New Roman" w:cs="Times New Roman"/>
        </w:rPr>
      </w:pPr>
    </w:p>
    <w:p w14:paraId="36694356" w14:textId="79DFA1C5" w:rsidR="005A08A7" w:rsidRDefault="007E3BB3" w:rsidP="006232BE">
      <w:pPr>
        <w:jc w:val="both"/>
        <w:rPr>
          <w:rFonts w:ascii="Times New Roman" w:hAnsi="Times New Roman" w:cs="Times New Roman"/>
        </w:rPr>
      </w:pPr>
      <w:r w:rsidRPr="003E7AEB">
        <w:rPr>
          <w:rFonts w:ascii="Times New Roman" w:hAnsi="Times New Roman" w:cs="Times New Roman"/>
        </w:rPr>
        <w:t xml:space="preserve">Considering </w:t>
      </w:r>
      <w:r w:rsidR="00D853A5" w:rsidRPr="003E7AEB">
        <w:rPr>
          <w:rFonts w:ascii="Times New Roman" w:hAnsi="Times New Roman" w:cs="Times New Roman"/>
        </w:rPr>
        <w:t xml:space="preserve">above </w:t>
      </w:r>
      <w:r w:rsidRPr="003E7AEB">
        <w:rPr>
          <w:rFonts w:ascii="Times New Roman" w:hAnsi="Times New Roman" w:cs="Times New Roman"/>
        </w:rPr>
        <w:t>agreement</w:t>
      </w:r>
      <w:r w:rsidR="009A4085">
        <w:rPr>
          <w:rFonts w:ascii="Times New Roman" w:hAnsi="Times New Roman" w:cs="Times New Roman"/>
        </w:rPr>
        <w:t>s</w:t>
      </w:r>
      <w:r w:rsidR="00291CED" w:rsidRPr="003E7AEB">
        <w:rPr>
          <w:rFonts w:ascii="Times New Roman" w:hAnsi="Times New Roman" w:cs="Times New Roman"/>
        </w:rPr>
        <w:t>, t</w:t>
      </w:r>
      <w:r w:rsidR="00C27B5A" w:rsidRPr="003E7AEB">
        <w:rPr>
          <w:rFonts w:ascii="Times New Roman" w:hAnsi="Times New Roman" w:cs="Times New Roman"/>
        </w:rPr>
        <w:t xml:space="preserve">his contribution addresses </w:t>
      </w:r>
      <w:r w:rsidR="009A4085">
        <w:rPr>
          <w:rFonts w:ascii="Times New Roman" w:hAnsi="Times New Roman" w:cs="Times New Roman"/>
        </w:rPr>
        <w:t xml:space="preserve">some </w:t>
      </w:r>
      <w:r w:rsidR="00C27B5A" w:rsidRPr="003E7AEB">
        <w:rPr>
          <w:rFonts w:ascii="Times New Roman" w:hAnsi="Times New Roman" w:cs="Times New Roman"/>
        </w:rPr>
        <w:t>aspects of NR</w:t>
      </w:r>
      <w:r w:rsidR="003C0A16">
        <w:rPr>
          <w:rFonts w:ascii="Times New Roman" w:hAnsi="Times New Roman" w:cs="Times New Roman"/>
        </w:rPr>
        <w:t>-U</w:t>
      </w:r>
      <w:r w:rsidR="00C27B5A" w:rsidRPr="003E7AEB">
        <w:rPr>
          <w:rFonts w:ascii="Times New Roman" w:hAnsi="Times New Roman" w:cs="Times New Roman"/>
        </w:rPr>
        <w:t xml:space="preserve"> frame structure</w:t>
      </w:r>
      <w:r w:rsidR="00291CED" w:rsidRPr="003E7AEB">
        <w:rPr>
          <w:rFonts w:ascii="Times New Roman" w:hAnsi="Times New Roman" w:cs="Times New Roman"/>
        </w:rPr>
        <w:t xml:space="preserve">. </w:t>
      </w:r>
    </w:p>
    <w:p w14:paraId="570E10A7" w14:textId="445E0573" w:rsidR="00180B6F" w:rsidRPr="003E7AEB" w:rsidRDefault="004478DA" w:rsidP="006232BE">
      <w:pPr>
        <w:pStyle w:val="Heading1"/>
        <w:jc w:val="both"/>
        <w:rPr>
          <w:rFonts w:ascii="Times New Roman" w:hAnsi="Times New Roman"/>
          <w:b/>
          <w:sz w:val="32"/>
          <w:szCs w:val="32"/>
          <w:lang w:val="en-US"/>
        </w:rPr>
      </w:pPr>
      <w:r w:rsidRPr="003E7AEB">
        <w:rPr>
          <w:rFonts w:ascii="Times New Roman" w:hAnsi="Times New Roman"/>
          <w:b/>
          <w:sz w:val="32"/>
          <w:szCs w:val="32"/>
        </w:rPr>
        <w:t>NR</w:t>
      </w:r>
      <w:r w:rsidR="00D47417">
        <w:rPr>
          <w:rFonts w:ascii="Times New Roman" w:hAnsi="Times New Roman"/>
          <w:b/>
          <w:sz w:val="32"/>
          <w:szCs w:val="32"/>
        </w:rPr>
        <w:t>-U</w:t>
      </w:r>
      <w:r w:rsidRPr="003E7AEB">
        <w:rPr>
          <w:rFonts w:ascii="Times New Roman" w:hAnsi="Times New Roman"/>
          <w:b/>
          <w:sz w:val="32"/>
          <w:szCs w:val="32"/>
        </w:rPr>
        <w:t xml:space="preserve"> frame </w:t>
      </w:r>
      <w:r w:rsidR="00A777E9" w:rsidRPr="003E7AEB">
        <w:rPr>
          <w:rFonts w:ascii="Times New Roman" w:hAnsi="Times New Roman"/>
          <w:b/>
          <w:sz w:val="32"/>
          <w:szCs w:val="32"/>
        </w:rPr>
        <w:t>structure</w:t>
      </w:r>
      <w:r w:rsidRPr="003E7AEB">
        <w:rPr>
          <w:rFonts w:ascii="Times New Roman" w:hAnsi="Times New Roman"/>
          <w:b/>
          <w:sz w:val="32"/>
          <w:szCs w:val="32"/>
        </w:rPr>
        <w:t xml:space="preserve"> </w:t>
      </w:r>
    </w:p>
    <w:p w14:paraId="2EC09FE1" w14:textId="77777777" w:rsidR="00C33F99" w:rsidRDefault="00B23DBD" w:rsidP="006232BE">
      <w:pPr>
        <w:jc w:val="both"/>
        <w:rPr>
          <w:rFonts w:ascii="Times New Roman" w:hAnsi="Times New Roman" w:cs="Times New Roman"/>
        </w:rPr>
      </w:pPr>
      <w:r w:rsidRPr="003E7AEB">
        <w:rPr>
          <w:rFonts w:ascii="Times New Roman" w:hAnsi="Times New Roman" w:cs="Times New Roman"/>
        </w:rPr>
        <w:t xml:space="preserve">In LAA, the start of the transmission following a successful LBT is limited to the beginning of the next slot (i.e., Symbol 0 or 7 within a subframe). This approach often results in inefficient resource utilization in scenarios that the LBT procedure is successfully completed at the middle of the slot. In NR-U, to maximize the resource usage efficiency, the transmission should be allowed at any time following a successful LBT procedure. For example, the UE can be scheduled with a mini-slot granularity during the random transmission stage and later on to be scheduled at the slot-level granularity during the deterministic transmission stage. The uncertainty associated with the random transmission stage is mainly due to the fact that there are multiple LBT categories each with a different listen </w:t>
      </w:r>
      <w:r w:rsidR="00841916" w:rsidRPr="003E7AEB">
        <w:rPr>
          <w:rFonts w:ascii="Times New Roman" w:hAnsi="Times New Roman" w:cs="Times New Roman"/>
        </w:rPr>
        <w:t>intervals</w:t>
      </w:r>
      <w:r w:rsidRPr="003E7AEB">
        <w:rPr>
          <w:rFonts w:ascii="Times New Roman" w:hAnsi="Times New Roman" w:cs="Times New Roman"/>
        </w:rPr>
        <w:t xml:space="preserve">. Besides, the LBT mechanism is mainly opportunity-driven with no guarantee of availability of resources so the scheduling cannot be done in a deterministic manner. As for the scheduling during the random transmission stage, perhaps the shortest mini-slot duration (i.e., 2 OFDM symbols) would be the most efficient option among the three mini-slot durations currently defined in NR (i.e., 2, 4 &amp; 7 symbols). An example of NR-U frame structure with LBT procedure is shown in </w:t>
      </w:r>
      <w:r w:rsidRPr="003E7AEB">
        <w:rPr>
          <w:rFonts w:ascii="Times New Roman" w:hAnsi="Times New Roman" w:cs="Times New Roman"/>
        </w:rPr>
        <w:fldChar w:fldCharType="begin"/>
      </w:r>
      <w:r w:rsidRPr="003E7AEB">
        <w:rPr>
          <w:rFonts w:ascii="Times New Roman" w:hAnsi="Times New Roman" w:cs="Times New Roman"/>
        </w:rPr>
        <w:instrText xml:space="preserve"> REF _Ref510601243 \h </w:instrText>
      </w:r>
      <w:r w:rsidR="006232BE" w:rsidRPr="003E7AEB">
        <w:rPr>
          <w:rFonts w:ascii="Times New Roman" w:hAnsi="Times New Roman" w:cs="Times New Roman"/>
        </w:rPr>
        <w:instrText xml:space="preserve"> \* MERGEFORMAT </w:instrText>
      </w:r>
      <w:r w:rsidRPr="003E7AEB">
        <w:rPr>
          <w:rFonts w:ascii="Times New Roman" w:hAnsi="Times New Roman" w:cs="Times New Roman"/>
        </w:rPr>
      </w:r>
      <w:r w:rsidRPr="003E7AEB">
        <w:rPr>
          <w:rFonts w:ascii="Times New Roman" w:hAnsi="Times New Roman" w:cs="Times New Roman"/>
        </w:rPr>
        <w:fldChar w:fldCharType="separate"/>
      </w:r>
      <w:r w:rsidRPr="003E7AEB">
        <w:rPr>
          <w:rFonts w:ascii="Times New Roman" w:hAnsi="Times New Roman" w:cs="Times New Roman"/>
        </w:rPr>
        <w:t xml:space="preserve">Figure </w:t>
      </w:r>
      <w:r w:rsidRPr="003E7AEB">
        <w:rPr>
          <w:rFonts w:ascii="Times New Roman" w:hAnsi="Times New Roman" w:cs="Times New Roman"/>
          <w:noProof/>
        </w:rPr>
        <w:t>1</w:t>
      </w:r>
      <w:r w:rsidRPr="003E7AEB">
        <w:rPr>
          <w:rFonts w:ascii="Times New Roman" w:hAnsi="Times New Roman" w:cs="Times New Roman"/>
        </w:rPr>
        <w:fldChar w:fldCharType="end"/>
      </w:r>
      <w:r w:rsidRPr="003E7AEB">
        <w:rPr>
          <w:rFonts w:ascii="Times New Roman" w:hAnsi="Times New Roman" w:cs="Times New Roman"/>
        </w:rPr>
        <w:t>.</w:t>
      </w:r>
      <w:r w:rsidR="00C47AE5">
        <w:rPr>
          <w:rFonts w:ascii="Times New Roman" w:hAnsi="Times New Roman" w:cs="Times New Roman"/>
        </w:rPr>
        <w:t xml:space="preserve"> </w:t>
      </w:r>
    </w:p>
    <w:p w14:paraId="7E9CD15F" w14:textId="6EDCFC1C" w:rsidR="00B23DBD" w:rsidRPr="003E7AEB" w:rsidRDefault="00C47AE5" w:rsidP="006232B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Given the efficiency and flexibility that a variable-size starting slot/mini-slot offer, it is benefitial </w:t>
      </w:r>
      <w:r w:rsidR="00C33F99">
        <w:rPr>
          <w:rFonts w:ascii="Times New Roman" w:hAnsi="Times New Roman" w:cs="Times New Roman"/>
        </w:rPr>
        <w:t xml:space="preserve">if </w:t>
      </w:r>
      <w:r>
        <w:rPr>
          <w:rFonts w:ascii="Times New Roman" w:hAnsi="Times New Roman" w:cs="Times New Roman"/>
        </w:rPr>
        <w:t xml:space="preserve">NR-U </w:t>
      </w:r>
      <w:r w:rsidR="00C33F99">
        <w:rPr>
          <w:rFonts w:ascii="Times New Roman" w:hAnsi="Times New Roman" w:cs="Times New Roman"/>
        </w:rPr>
        <w:t xml:space="preserve">UEs are equipped with </w:t>
      </w:r>
      <w:r w:rsidRPr="00C47AE5">
        <w:rPr>
          <w:rFonts w:ascii="Times New Roman" w:hAnsi="Times New Roman" w:cs="Times New Roman"/>
        </w:rPr>
        <w:t xml:space="preserve">mechanisms that enables </w:t>
      </w:r>
      <w:r w:rsidR="00C33F99">
        <w:rPr>
          <w:rFonts w:ascii="Times New Roman" w:hAnsi="Times New Roman" w:cs="Times New Roman"/>
        </w:rPr>
        <w:t xml:space="preserve">them </w:t>
      </w:r>
      <w:r w:rsidRPr="00C47AE5">
        <w:rPr>
          <w:rFonts w:ascii="Times New Roman" w:hAnsi="Times New Roman" w:cs="Times New Roman"/>
        </w:rPr>
        <w:t>to efficiently detect a slot and mini-slot at the beginning of a gNB-initiated COT</w:t>
      </w:r>
      <w:r>
        <w:rPr>
          <w:rFonts w:ascii="Times New Roman" w:hAnsi="Times New Roman" w:cs="Times New Roman"/>
        </w:rPr>
        <w:t>.</w:t>
      </w:r>
    </w:p>
    <w:p w14:paraId="61192751" w14:textId="5D9A6DBD" w:rsidR="00B23DBD" w:rsidRPr="003E7AEB" w:rsidRDefault="00D80771" w:rsidP="00D80771">
      <w:pPr>
        <w:keepNext/>
        <w:jc w:val="center"/>
        <w:rPr>
          <w:rFonts w:ascii="Times New Roman" w:hAnsi="Times New Roman" w:cs="Times New Roman"/>
        </w:rPr>
      </w:pPr>
      <w:r w:rsidRPr="003E7AEB">
        <w:rPr>
          <w:rFonts w:ascii="Times New Roman" w:hAnsi="Times New Roman" w:cs="Times New Roman"/>
        </w:rPr>
        <w:object w:dxaOrig="5420" w:dyaOrig="1671" w14:anchorId="3E7A70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2pt;height:114.05pt" o:ole="">
            <v:imagedata r:id="rId8" o:title="" cropbottom="-39071f" cropright="-36731f"/>
          </v:shape>
          <o:OLEObject Type="Embed" ProgID="Visio.Drawing.15" ShapeID="_x0000_i1025" DrawAspect="Content" ObjectID="_1602690804" r:id="rId9"/>
        </w:object>
      </w:r>
    </w:p>
    <w:p w14:paraId="1D06275E" w14:textId="5CCB84DA" w:rsidR="00B23DBD" w:rsidRPr="003E7AEB" w:rsidRDefault="00B23DBD" w:rsidP="0084356E">
      <w:pPr>
        <w:pStyle w:val="Caption"/>
        <w:rPr>
          <w:rFonts w:ascii="Times New Roman" w:hAnsi="Times New Roman" w:cs="Times New Roman"/>
        </w:rPr>
      </w:pPr>
      <w:bookmarkStart w:id="0" w:name="_Ref510601243"/>
      <w:r w:rsidRPr="003E7AEB">
        <w:rPr>
          <w:rFonts w:ascii="Times New Roman" w:hAnsi="Times New Roman" w:cs="Times New Roman"/>
        </w:rPr>
        <w:t xml:space="preserve">Figure </w:t>
      </w:r>
      <w:r w:rsidR="000868EC" w:rsidRPr="003E7AEB">
        <w:rPr>
          <w:rFonts w:ascii="Times New Roman" w:hAnsi="Times New Roman" w:cs="Times New Roman"/>
        </w:rPr>
        <w:fldChar w:fldCharType="begin"/>
      </w:r>
      <w:r w:rsidR="000868EC" w:rsidRPr="003E7AEB">
        <w:rPr>
          <w:rFonts w:ascii="Times New Roman" w:hAnsi="Times New Roman" w:cs="Times New Roman"/>
        </w:rPr>
        <w:instrText xml:space="preserve"> SEQ Figure \* ARABIC </w:instrText>
      </w:r>
      <w:r w:rsidR="000868EC" w:rsidRPr="003E7AEB">
        <w:rPr>
          <w:rFonts w:ascii="Times New Roman" w:hAnsi="Times New Roman" w:cs="Times New Roman"/>
        </w:rPr>
        <w:fldChar w:fldCharType="separate"/>
      </w:r>
      <w:r w:rsidRPr="003E7AEB">
        <w:rPr>
          <w:rFonts w:ascii="Times New Roman" w:hAnsi="Times New Roman" w:cs="Times New Roman"/>
          <w:noProof/>
        </w:rPr>
        <w:t>1</w:t>
      </w:r>
      <w:r w:rsidR="000868EC" w:rsidRPr="003E7AEB">
        <w:rPr>
          <w:rFonts w:ascii="Times New Roman" w:hAnsi="Times New Roman" w:cs="Times New Roman"/>
          <w:noProof/>
        </w:rPr>
        <w:fldChar w:fldCharType="end"/>
      </w:r>
      <w:bookmarkEnd w:id="0"/>
      <w:r w:rsidRPr="003E7AEB">
        <w:rPr>
          <w:rFonts w:ascii="Times New Roman" w:hAnsi="Times New Roman" w:cs="Times New Roman"/>
        </w:rPr>
        <w:t>: An example of NR-U frame structure with LBT procedure</w:t>
      </w:r>
    </w:p>
    <w:p w14:paraId="01D8ED8E" w14:textId="516874E8" w:rsidR="00A504B0" w:rsidRDefault="00A504B0" w:rsidP="00A504B0">
      <w:pPr>
        <w:jc w:val="both"/>
        <w:rPr>
          <w:rFonts w:ascii="Times New Roman" w:hAnsi="Times New Roman" w:cs="Times New Roman"/>
          <w:i/>
          <w:lang w:eastAsia="sv-SE"/>
        </w:rPr>
      </w:pPr>
      <w:r w:rsidRPr="003E7AEB">
        <w:rPr>
          <w:rFonts w:ascii="Times New Roman" w:hAnsi="Times New Roman" w:cs="Times New Roman"/>
          <w:b/>
          <w:i/>
          <w:u w:val="single"/>
          <w:lang w:eastAsia="sv-SE"/>
        </w:rPr>
        <w:t>Proposal 1:</w:t>
      </w:r>
      <w:r w:rsidRPr="003E7AEB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N</w:t>
      </w:r>
      <w:r w:rsidRPr="003E7AEB">
        <w:rPr>
          <w:rFonts w:ascii="Times New Roman" w:hAnsi="Times New Roman" w:cs="Times New Roman"/>
          <w:i/>
          <w:lang w:eastAsia="sv-SE"/>
        </w:rPr>
        <w:t>R</w:t>
      </w:r>
      <w:r>
        <w:rPr>
          <w:rFonts w:ascii="Times New Roman" w:hAnsi="Times New Roman" w:cs="Times New Roman"/>
          <w:i/>
          <w:lang w:eastAsia="sv-SE"/>
        </w:rPr>
        <w:t>-U</w:t>
      </w:r>
      <w:r w:rsidRPr="003E7AEB">
        <w:rPr>
          <w:rFonts w:ascii="Times New Roman" w:hAnsi="Times New Roman" w:cs="Times New Roman"/>
          <w:i/>
          <w:lang w:eastAsia="sv-SE"/>
        </w:rPr>
        <w:t xml:space="preserve"> </w:t>
      </w:r>
      <w:r w:rsidR="00172612">
        <w:rPr>
          <w:rFonts w:ascii="Times New Roman" w:hAnsi="Times New Roman" w:cs="Times New Roman"/>
          <w:i/>
          <w:lang w:eastAsia="sv-SE"/>
        </w:rPr>
        <w:t>should</w:t>
      </w:r>
      <w:r>
        <w:rPr>
          <w:rFonts w:ascii="Times New Roman" w:hAnsi="Times New Roman" w:cs="Times New Roman"/>
          <w:i/>
          <w:lang w:eastAsia="sv-SE"/>
        </w:rPr>
        <w:t xml:space="preserve"> provide </w:t>
      </w:r>
      <w:r w:rsidR="008879BA">
        <w:rPr>
          <w:rFonts w:ascii="Times New Roman" w:hAnsi="Times New Roman" w:cs="Times New Roman"/>
          <w:i/>
          <w:lang w:eastAsia="sv-SE"/>
        </w:rPr>
        <w:t>mechanisms</w:t>
      </w:r>
      <w:r>
        <w:rPr>
          <w:rFonts w:ascii="Times New Roman" w:hAnsi="Times New Roman" w:cs="Times New Roman"/>
          <w:i/>
          <w:lang w:eastAsia="sv-SE"/>
        </w:rPr>
        <w:t xml:space="preserve"> </w:t>
      </w:r>
      <w:r w:rsidR="008E652C">
        <w:rPr>
          <w:rFonts w:ascii="Times New Roman" w:hAnsi="Times New Roman" w:cs="Times New Roman"/>
          <w:i/>
          <w:lang w:eastAsia="sv-SE"/>
        </w:rPr>
        <w:t xml:space="preserve">that enables UEs to efficiently detect a slot </w:t>
      </w:r>
      <w:r w:rsidR="004C4CA2">
        <w:rPr>
          <w:rFonts w:ascii="Times New Roman" w:hAnsi="Times New Roman" w:cs="Times New Roman"/>
          <w:i/>
          <w:lang w:eastAsia="sv-SE"/>
        </w:rPr>
        <w:t>and</w:t>
      </w:r>
      <w:r w:rsidR="008E652C">
        <w:rPr>
          <w:rFonts w:ascii="Times New Roman" w:hAnsi="Times New Roman" w:cs="Times New Roman"/>
          <w:i/>
          <w:lang w:eastAsia="sv-SE"/>
        </w:rPr>
        <w:t xml:space="preserve"> mini-slot at the </w:t>
      </w:r>
      <w:r w:rsidR="008879BA">
        <w:rPr>
          <w:rFonts w:ascii="Times New Roman" w:hAnsi="Times New Roman" w:cs="Times New Roman"/>
          <w:i/>
          <w:lang w:eastAsia="sv-SE"/>
        </w:rPr>
        <w:t>beginning</w:t>
      </w:r>
      <w:r w:rsidR="008E652C">
        <w:rPr>
          <w:rFonts w:ascii="Times New Roman" w:hAnsi="Times New Roman" w:cs="Times New Roman"/>
          <w:i/>
          <w:lang w:eastAsia="sv-SE"/>
        </w:rPr>
        <w:t xml:space="preserve"> of a gNB-initiated COT</w:t>
      </w:r>
      <w:r>
        <w:rPr>
          <w:rFonts w:ascii="Times New Roman" w:hAnsi="Times New Roman" w:cs="Times New Roman"/>
          <w:i/>
          <w:lang w:eastAsia="sv-SE"/>
        </w:rPr>
        <w:t xml:space="preserve">.  </w:t>
      </w:r>
    </w:p>
    <w:p w14:paraId="10210BEE" w14:textId="0097FC86" w:rsidR="00B23DBD" w:rsidRPr="003E7AEB" w:rsidRDefault="00B23DBD" w:rsidP="006232BE">
      <w:pPr>
        <w:jc w:val="both"/>
        <w:rPr>
          <w:rFonts w:ascii="Times New Roman" w:hAnsi="Times New Roman" w:cs="Times New Roman"/>
        </w:rPr>
      </w:pPr>
      <w:r w:rsidRPr="003E7AEB">
        <w:rPr>
          <w:rFonts w:ascii="Times New Roman" w:hAnsi="Times New Roman" w:cs="Times New Roman"/>
        </w:rPr>
        <w:t xml:space="preserve">Another design consideration related to the frame structure would be related to PDCCH monitoring periodicity. One implication of enabling the mini-slot based scheduling during the random transmission stage is that the UE will be required to perform PDCCH monitoring at the </w:t>
      </w:r>
      <w:r w:rsidR="00A777E9" w:rsidRPr="003E7AEB">
        <w:rPr>
          <w:rFonts w:ascii="Times New Roman" w:hAnsi="Times New Roman" w:cs="Times New Roman"/>
        </w:rPr>
        <w:t>beginning</w:t>
      </w:r>
      <w:r w:rsidRPr="003E7AEB">
        <w:rPr>
          <w:rFonts w:ascii="Times New Roman" w:hAnsi="Times New Roman" w:cs="Times New Roman"/>
        </w:rPr>
        <w:t xml:space="preserve"> of each mini-slot. This will obviously increase the power consumption at the UE</w:t>
      </w:r>
      <w:r w:rsidR="00841916" w:rsidRPr="003E7AEB">
        <w:rPr>
          <w:rFonts w:ascii="Times New Roman" w:hAnsi="Times New Roman" w:cs="Times New Roman"/>
        </w:rPr>
        <w:t>, particularly during the time that the gNB is not transmitting due to LBT</w:t>
      </w:r>
      <w:r w:rsidRPr="003E7AEB">
        <w:rPr>
          <w:rFonts w:ascii="Times New Roman" w:hAnsi="Times New Roman" w:cs="Times New Roman"/>
        </w:rPr>
        <w:t xml:space="preserve">. Currently, the NR </w:t>
      </w:r>
      <w:r w:rsidR="00CA7A97" w:rsidRPr="003E7AEB">
        <w:rPr>
          <w:rFonts w:ascii="Times New Roman" w:hAnsi="Times New Roman" w:cs="Times New Roman"/>
        </w:rPr>
        <w:t xml:space="preserve">working group </w:t>
      </w:r>
      <w:r w:rsidRPr="003E7AEB">
        <w:rPr>
          <w:rFonts w:ascii="Times New Roman" w:hAnsi="Times New Roman" w:cs="Times New Roman"/>
        </w:rPr>
        <w:t xml:space="preserve">is considering to study the mechanisms and procedures to minimize the UE power consumption. One of the objectives of this </w:t>
      </w:r>
      <w:r w:rsidR="00CA7A97" w:rsidRPr="003E7AEB">
        <w:rPr>
          <w:rFonts w:ascii="Times New Roman" w:hAnsi="Times New Roman" w:cs="Times New Roman"/>
        </w:rPr>
        <w:t xml:space="preserve">potential </w:t>
      </w:r>
      <w:r w:rsidRPr="003E7AEB">
        <w:rPr>
          <w:rFonts w:ascii="Times New Roman" w:hAnsi="Times New Roman" w:cs="Times New Roman"/>
        </w:rPr>
        <w:t xml:space="preserve">SI is to consider a new network-assisted UE wake-up mechanism with the possibility of introducing wakeup signals. The same approach can be </w:t>
      </w:r>
      <w:r w:rsidRPr="003E7AEB">
        <w:rPr>
          <w:rFonts w:ascii="Times New Roman" w:hAnsi="Times New Roman" w:cs="Times New Roman"/>
        </w:rPr>
        <w:lastRenderedPageBreak/>
        <w:t>extended and used in NR-U. More specifically, the gNB</w:t>
      </w:r>
      <w:r w:rsidR="00841916" w:rsidRPr="003E7AEB">
        <w:rPr>
          <w:rFonts w:ascii="Times New Roman" w:hAnsi="Times New Roman" w:cs="Times New Roman"/>
        </w:rPr>
        <w:t>, following a successful LBT procedure,</w:t>
      </w:r>
      <w:r w:rsidRPr="003E7AEB">
        <w:rPr>
          <w:rFonts w:ascii="Times New Roman" w:hAnsi="Times New Roman" w:cs="Times New Roman"/>
        </w:rPr>
        <w:t xml:space="preserve"> may transmit a wake-up signal to the UE</w:t>
      </w:r>
      <w:r w:rsidR="001D43D0" w:rsidRPr="003E7AEB">
        <w:rPr>
          <w:rFonts w:ascii="Times New Roman" w:hAnsi="Times New Roman" w:cs="Times New Roman"/>
        </w:rPr>
        <w:t>(s)</w:t>
      </w:r>
      <w:r w:rsidRPr="003E7AEB">
        <w:rPr>
          <w:rFonts w:ascii="Times New Roman" w:hAnsi="Times New Roman" w:cs="Times New Roman"/>
        </w:rPr>
        <w:t xml:space="preserve"> to trigger the UE</w:t>
      </w:r>
      <w:r w:rsidR="001D43D0" w:rsidRPr="003E7AEB">
        <w:rPr>
          <w:rFonts w:ascii="Times New Roman" w:hAnsi="Times New Roman" w:cs="Times New Roman"/>
        </w:rPr>
        <w:t>(s)</w:t>
      </w:r>
      <w:r w:rsidRPr="003E7AEB">
        <w:rPr>
          <w:rFonts w:ascii="Times New Roman" w:hAnsi="Times New Roman" w:cs="Times New Roman"/>
        </w:rPr>
        <w:t xml:space="preserve"> to </w:t>
      </w:r>
      <w:r w:rsidR="001D43D0" w:rsidRPr="003E7AEB">
        <w:rPr>
          <w:rFonts w:ascii="Times New Roman" w:hAnsi="Times New Roman" w:cs="Times New Roman"/>
        </w:rPr>
        <w:t xml:space="preserve">resume </w:t>
      </w:r>
      <w:r w:rsidRPr="003E7AEB">
        <w:rPr>
          <w:rFonts w:ascii="Times New Roman" w:hAnsi="Times New Roman" w:cs="Times New Roman"/>
        </w:rPr>
        <w:t xml:space="preserve">monitoring the PDCCH. An example of NR-U frame structure with the UE wake-up signal is shown in </w:t>
      </w:r>
      <w:r w:rsidRPr="003E7AEB">
        <w:rPr>
          <w:rFonts w:ascii="Times New Roman" w:hAnsi="Times New Roman" w:cs="Times New Roman"/>
        </w:rPr>
        <w:fldChar w:fldCharType="begin"/>
      </w:r>
      <w:r w:rsidRPr="003E7AEB">
        <w:rPr>
          <w:rFonts w:ascii="Times New Roman" w:hAnsi="Times New Roman" w:cs="Times New Roman"/>
        </w:rPr>
        <w:instrText xml:space="preserve"> REF _Ref510604102 \h </w:instrText>
      </w:r>
      <w:r w:rsidR="006232BE" w:rsidRPr="003E7AEB">
        <w:rPr>
          <w:rFonts w:ascii="Times New Roman" w:hAnsi="Times New Roman" w:cs="Times New Roman"/>
        </w:rPr>
        <w:instrText xml:space="preserve"> \* MERGEFORMAT </w:instrText>
      </w:r>
      <w:r w:rsidRPr="003E7AEB">
        <w:rPr>
          <w:rFonts w:ascii="Times New Roman" w:hAnsi="Times New Roman" w:cs="Times New Roman"/>
        </w:rPr>
      </w:r>
      <w:r w:rsidRPr="003E7AEB">
        <w:rPr>
          <w:rFonts w:ascii="Times New Roman" w:hAnsi="Times New Roman" w:cs="Times New Roman"/>
        </w:rPr>
        <w:fldChar w:fldCharType="separate"/>
      </w:r>
      <w:r w:rsidRPr="003E7AEB">
        <w:rPr>
          <w:rFonts w:ascii="Times New Roman" w:hAnsi="Times New Roman" w:cs="Times New Roman"/>
        </w:rPr>
        <w:t xml:space="preserve">Figure </w:t>
      </w:r>
      <w:r w:rsidRPr="003E7AEB">
        <w:rPr>
          <w:rFonts w:ascii="Times New Roman" w:hAnsi="Times New Roman" w:cs="Times New Roman"/>
          <w:noProof/>
        </w:rPr>
        <w:t>2</w:t>
      </w:r>
      <w:r w:rsidRPr="003E7AEB">
        <w:rPr>
          <w:rFonts w:ascii="Times New Roman" w:hAnsi="Times New Roman" w:cs="Times New Roman"/>
        </w:rPr>
        <w:fldChar w:fldCharType="end"/>
      </w:r>
      <w:r w:rsidRPr="003E7AEB">
        <w:rPr>
          <w:rFonts w:ascii="Times New Roman" w:hAnsi="Times New Roman" w:cs="Times New Roman"/>
        </w:rPr>
        <w:t xml:space="preserve">. </w:t>
      </w:r>
    </w:p>
    <w:bookmarkStart w:id="1" w:name="_Hlk528767030"/>
    <w:p w14:paraId="6F39627E" w14:textId="32083091" w:rsidR="00B23DBD" w:rsidRPr="003E7AEB" w:rsidRDefault="00C47AE5" w:rsidP="0008257C">
      <w:pPr>
        <w:keepNext/>
        <w:jc w:val="center"/>
        <w:rPr>
          <w:rFonts w:ascii="Times New Roman" w:hAnsi="Times New Roman" w:cs="Times New Roman"/>
        </w:rPr>
      </w:pPr>
      <w:r w:rsidRPr="003E7AEB">
        <w:rPr>
          <w:rFonts w:ascii="Times New Roman" w:hAnsi="Times New Roman" w:cs="Times New Roman"/>
        </w:rPr>
        <w:object w:dxaOrig="5420" w:dyaOrig="1891" w14:anchorId="7A3FCAD8">
          <v:shape id="_x0000_i1026" type="#_x0000_t75" style="width:345.25pt;height:90.95pt" o:ole="">
            <v:imagedata r:id="rId10" o:title="" croptop="11984f" cropbottom="-23090f" cropleft="1827f" cropright="-37095f"/>
          </v:shape>
          <o:OLEObject Type="Embed" ProgID="Visio.Drawing.15" ShapeID="_x0000_i1026" DrawAspect="Content" ObjectID="_1602690805" r:id="rId11"/>
        </w:object>
      </w:r>
      <w:bookmarkEnd w:id="1"/>
    </w:p>
    <w:p w14:paraId="588214E7" w14:textId="32819163" w:rsidR="00B23DBD" w:rsidRPr="003E7AEB" w:rsidRDefault="00B23DBD" w:rsidP="006C6C98">
      <w:pPr>
        <w:pStyle w:val="Caption"/>
        <w:rPr>
          <w:rFonts w:ascii="Times New Roman" w:eastAsia="Times New Roman" w:hAnsi="Times New Roman" w:cs="Times New Roman"/>
          <w:lang w:eastAsia="x-none"/>
        </w:rPr>
      </w:pPr>
      <w:bookmarkStart w:id="2" w:name="_Ref510604102"/>
      <w:r w:rsidRPr="003E7AEB">
        <w:rPr>
          <w:rFonts w:ascii="Times New Roman" w:hAnsi="Times New Roman" w:cs="Times New Roman"/>
        </w:rPr>
        <w:t xml:space="preserve">Figure </w:t>
      </w:r>
      <w:r w:rsidR="000868EC" w:rsidRPr="003E7AEB">
        <w:rPr>
          <w:rFonts w:ascii="Times New Roman" w:hAnsi="Times New Roman" w:cs="Times New Roman"/>
        </w:rPr>
        <w:fldChar w:fldCharType="begin"/>
      </w:r>
      <w:r w:rsidR="000868EC" w:rsidRPr="003E7AEB">
        <w:rPr>
          <w:rFonts w:ascii="Times New Roman" w:hAnsi="Times New Roman" w:cs="Times New Roman"/>
        </w:rPr>
        <w:instrText xml:space="preserve"> SEQ Figure \* ARABIC </w:instrText>
      </w:r>
      <w:r w:rsidR="000868EC" w:rsidRPr="003E7AEB">
        <w:rPr>
          <w:rFonts w:ascii="Times New Roman" w:hAnsi="Times New Roman" w:cs="Times New Roman"/>
        </w:rPr>
        <w:fldChar w:fldCharType="separate"/>
      </w:r>
      <w:r w:rsidRPr="003E7AEB">
        <w:rPr>
          <w:rFonts w:ascii="Times New Roman" w:hAnsi="Times New Roman" w:cs="Times New Roman"/>
          <w:noProof/>
        </w:rPr>
        <w:t>2</w:t>
      </w:r>
      <w:r w:rsidR="000868EC" w:rsidRPr="003E7AEB">
        <w:rPr>
          <w:rFonts w:ascii="Times New Roman" w:hAnsi="Times New Roman" w:cs="Times New Roman"/>
          <w:noProof/>
        </w:rPr>
        <w:fldChar w:fldCharType="end"/>
      </w:r>
      <w:bookmarkEnd w:id="2"/>
      <w:r w:rsidRPr="003E7AEB">
        <w:rPr>
          <w:rFonts w:ascii="Times New Roman" w:hAnsi="Times New Roman" w:cs="Times New Roman"/>
        </w:rPr>
        <w:t>: An example of NR-U frame structure with the UE wake-up signal.</w:t>
      </w:r>
      <w:bookmarkStart w:id="3" w:name="_GoBack"/>
      <w:bookmarkEnd w:id="3"/>
    </w:p>
    <w:p w14:paraId="7B7EC18F" w14:textId="36AF3C66" w:rsidR="00B23DBD" w:rsidRDefault="00B23DBD" w:rsidP="006232BE">
      <w:pPr>
        <w:jc w:val="both"/>
        <w:rPr>
          <w:rFonts w:ascii="Times New Roman" w:hAnsi="Times New Roman" w:cs="Times New Roman"/>
          <w:i/>
          <w:lang w:eastAsia="sv-SE"/>
        </w:rPr>
      </w:pPr>
      <w:r w:rsidRPr="003E7AEB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 w:rsidR="00110F8F"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3E7AEB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3E7AEB">
        <w:rPr>
          <w:rFonts w:ascii="Times New Roman" w:hAnsi="Times New Roman" w:cs="Times New Roman"/>
          <w:b/>
          <w:i/>
          <w:lang w:eastAsia="sv-SE"/>
        </w:rPr>
        <w:t xml:space="preserve"> </w:t>
      </w:r>
      <w:r w:rsidR="000A2B68" w:rsidRPr="003E7AEB">
        <w:rPr>
          <w:rFonts w:ascii="Times New Roman" w:hAnsi="Times New Roman" w:cs="Times New Roman"/>
          <w:i/>
          <w:lang w:eastAsia="sv-SE"/>
        </w:rPr>
        <w:t>NR</w:t>
      </w:r>
      <w:r w:rsidR="00E06D0A">
        <w:rPr>
          <w:rFonts w:ascii="Times New Roman" w:hAnsi="Times New Roman" w:cs="Times New Roman"/>
          <w:i/>
          <w:lang w:eastAsia="sv-SE"/>
        </w:rPr>
        <w:t>-U</w:t>
      </w:r>
      <w:r w:rsidRPr="003E7AEB">
        <w:rPr>
          <w:rFonts w:ascii="Times New Roman" w:hAnsi="Times New Roman" w:cs="Times New Roman"/>
          <w:i/>
          <w:lang w:eastAsia="sv-SE"/>
        </w:rPr>
        <w:t xml:space="preserve"> </w:t>
      </w:r>
      <w:r w:rsidR="00172612">
        <w:rPr>
          <w:rFonts w:ascii="Times New Roman" w:hAnsi="Times New Roman" w:cs="Times New Roman"/>
          <w:i/>
          <w:lang w:eastAsia="sv-SE"/>
        </w:rPr>
        <w:t>should</w:t>
      </w:r>
      <w:r w:rsidRPr="003E7AEB">
        <w:rPr>
          <w:rFonts w:ascii="Times New Roman" w:hAnsi="Times New Roman" w:cs="Times New Roman"/>
          <w:i/>
          <w:lang w:eastAsia="sv-SE"/>
        </w:rPr>
        <w:t xml:space="preserve"> consider introducing </w:t>
      </w:r>
      <w:r w:rsidR="00172612">
        <w:rPr>
          <w:rFonts w:ascii="Times New Roman" w:hAnsi="Times New Roman" w:cs="Times New Roman"/>
          <w:i/>
          <w:lang w:eastAsia="sv-SE"/>
        </w:rPr>
        <w:t xml:space="preserve">a </w:t>
      </w:r>
      <w:r w:rsidRPr="003E7AEB">
        <w:rPr>
          <w:rFonts w:ascii="Times New Roman" w:hAnsi="Times New Roman" w:cs="Times New Roman"/>
          <w:i/>
          <w:lang w:eastAsia="sv-SE"/>
        </w:rPr>
        <w:t xml:space="preserve">network-assisted </w:t>
      </w:r>
      <w:r w:rsidR="00172612">
        <w:rPr>
          <w:rFonts w:ascii="Times New Roman" w:hAnsi="Times New Roman" w:cs="Times New Roman"/>
          <w:i/>
          <w:lang w:eastAsia="sv-SE"/>
        </w:rPr>
        <w:t xml:space="preserve">initial </w:t>
      </w:r>
      <w:r w:rsidRPr="003E7AEB">
        <w:rPr>
          <w:rFonts w:ascii="Times New Roman" w:hAnsi="Times New Roman" w:cs="Times New Roman"/>
          <w:i/>
          <w:lang w:eastAsia="sv-SE"/>
        </w:rPr>
        <w:t>signal to minimize the UE power consumption</w:t>
      </w:r>
      <w:r w:rsidR="000F6202">
        <w:rPr>
          <w:rFonts w:ascii="Times New Roman" w:hAnsi="Times New Roman" w:cs="Times New Roman"/>
          <w:i/>
          <w:lang w:eastAsia="sv-SE"/>
        </w:rPr>
        <w:t xml:space="preserve"> for PDCCH </w:t>
      </w:r>
      <w:r w:rsidR="008879BA">
        <w:rPr>
          <w:rFonts w:ascii="Times New Roman" w:hAnsi="Times New Roman" w:cs="Times New Roman"/>
          <w:i/>
          <w:lang w:eastAsia="sv-SE"/>
        </w:rPr>
        <w:t>monitoring</w:t>
      </w:r>
      <w:r w:rsidRPr="003E7AEB">
        <w:rPr>
          <w:rFonts w:ascii="Times New Roman" w:hAnsi="Times New Roman" w:cs="Times New Roman"/>
          <w:i/>
          <w:lang w:eastAsia="sv-SE"/>
        </w:rPr>
        <w:t>.</w:t>
      </w:r>
    </w:p>
    <w:p w14:paraId="64889DA9" w14:textId="5399CD15" w:rsidR="00FD6C7C" w:rsidRDefault="00E06D0A" w:rsidP="006232B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Candidates for wake-up signal could be an NR-based signal, e.g. PSS/SS, or could be a technology-</w:t>
      </w:r>
      <w:r w:rsidR="008879BA">
        <w:rPr>
          <w:rFonts w:ascii="Times New Roman" w:hAnsi="Times New Roman" w:cs="Times New Roman"/>
        </w:rPr>
        <w:t>neutral</w:t>
      </w:r>
      <w:r>
        <w:rPr>
          <w:rFonts w:ascii="Times New Roman" w:hAnsi="Times New Roman" w:cs="Times New Roman"/>
        </w:rPr>
        <w:t xml:space="preserve"> signal that additionally facilitates coexistence between NR-U and other technologies. However, the design of such signal should consider low-power detection</w:t>
      </w:r>
      <w:r w:rsidR="007841BD">
        <w:rPr>
          <w:rFonts w:ascii="Times New Roman" w:hAnsi="Times New Roman" w:cs="Times New Roman"/>
        </w:rPr>
        <w:t xml:space="preserve"> trade-off</w:t>
      </w:r>
      <w:r>
        <w:rPr>
          <w:rFonts w:ascii="Times New Roman" w:hAnsi="Times New Roman" w:cs="Times New Roman"/>
        </w:rPr>
        <w:t xml:space="preserve">, e.g. via time-domain correlation, since one of the initial goals </w:t>
      </w:r>
      <w:r w:rsidR="007841BD">
        <w:rPr>
          <w:rFonts w:ascii="Times New Roman" w:hAnsi="Times New Roman" w:cs="Times New Roman"/>
        </w:rPr>
        <w:t xml:space="preserve">of such signal </w:t>
      </w:r>
      <w:r>
        <w:rPr>
          <w:rFonts w:ascii="Times New Roman" w:hAnsi="Times New Roman" w:cs="Times New Roman"/>
        </w:rPr>
        <w:t xml:space="preserve">is power saving. </w:t>
      </w:r>
    </w:p>
    <w:p w14:paraId="43BD863F" w14:textId="0CB7ABE9" w:rsidR="00E82DCF" w:rsidRPr="00B1504B" w:rsidRDefault="001324A4" w:rsidP="00E82DCF">
      <w:pPr>
        <w:jc w:val="both"/>
        <w:rPr>
          <w:rFonts w:ascii="Times New Roman" w:hAnsi="Times New Roman" w:cs="Times New Roman"/>
        </w:rPr>
      </w:pPr>
      <w:r w:rsidRPr="003E7AEB">
        <w:rPr>
          <w:rFonts w:ascii="Times New Roman" w:hAnsi="Times New Roman" w:cs="Times New Roman"/>
        </w:rPr>
        <w:t>T</w:t>
      </w:r>
      <w:r w:rsidR="00A27E6E" w:rsidRPr="003E7AEB">
        <w:rPr>
          <w:rFonts w:ascii="Times New Roman" w:hAnsi="Times New Roman" w:cs="Times New Roman"/>
        </w:rPr>
        <w:t xml:space="preserve">he support of multiple DL/UL switches within a COT </w:t>
      </w:r>
      <w:r w:rsidR="00E82DCF">
        <w:rPr>
          <w:rFonts w:ascii="Times New Roman" w:hAnsi="Times New Roman" w:cs="Times New Roman"/>
        </w:rPr>
        <w:t>has been considered benefitial in previous agreements</w:t>
      </w:r>
      <w:r w:rsidR="002041DD" w:rsidRPr="003E7AEB">
        <w:rPr>
          <w:rFonts w:ascii="Times New Roman" w:hAnsi="Times New Roman" w:cs="Times New Roman"/>
        </w:rPr>
        <w:t>, although the LBT implications needs to be addressed carefully</w:t>
      </w:r>
      <w:r w:rsidR="00A27E6E" w:rsidRPr="003E7AEB">
        <w:rPr>
          <w:rFonts w:ascii="Times New Roman" w:hAnsi="Times New Roman" w:cs="Times New Roman"/>
        </w:rPr>
        <w:t xml:space="preserve">. </w:t>
      </w:r>
      <w:r w:rsidR="00D820E2" w:rsidRPr="003E7AEB">
        <w:rPr>
          <w:rFonts w:ascii="Times New Roman" w:hAnsi="Times New Roman" w:cs="Times New Roman"/>
        </w:rPr>
        <w:t xml:space="preserve">For instance, there could </w:t>
      </w:r>
      <w:r w:rsidR="00135A52">
        <w:rPr>
          <w:rFonts w:ascii="Times New Roman" w:hAnsi="Times New Roman" w:cs="Times New Roman"/>
        </w:rPr>
        <w:t xml:space="preserve">be </w:t>
      </w:r>
      <w:r w:rsidR="00D820E2" w:rsidRPr="003E7AEB">
        <w:rPr>
          <w:rFonts w:ascii="Times New Roman" w:hAnsi="Times New Roman" w:cs="Times New Roman"/>
        </w:rPr>
        <w:t xml:space="preserve">one DL/UL switch within a slot and the indication for such </w:t>
      </w:r>
      <w:r w:rsidR="00B1781D" w:rsidRPr="003E7AEB">
        <w:rPr>
          <w:rFonts w:ascii="Times New Roman" w:hAnsi="Times New Roman" w:cs="Times New Roman"/>
        </w:rPr>
        <w:t>switches</w:t>
      </w:r>
      <w:r w:rsidR="00D820E2" w:rsidRPr="003E7AEB">
        <w:rPr>
          <w:rFonts w:ascii="Times New Roman" w:hAnsi="Times New Roman" w:cs="Times New Roman"/>
        </w:rPr>
        <w:t xml:space="preserve"> is carried in slot format indicator (SFI). </w:t>
      </w:r>
      <w:r w:rsidR="00B1781D" w:rsidRPr="003E7AEB">
        <w:rPr>
          <w:rFonts w:ascii="Times New Roman" w:hAnsi="Times New Roman" w:cs="Times New Roman"/>
        </w:rPr>
        <w:t>Likewise,</w:t>
      </w:r>
      <w:r w:rsidR="00D820E2" w:rsidRPr="003E7AEB">
        <w:rPr>
          <w:rFonts w:ascii="Times New Roman" w:hAnsi="Times New Roman" w:cs="Times New Roman"/>
        </w:rPr>
        <w:t xml:space="preserve"> within a COT, </w:t>
      </w:r>
      <w:r w:rsidR="00A27E6E" w:rsidRPr="003E7AEB">
        <w:rPr>
          <w:rFonts w:ascii="Times New Roman" w:hAnsi="Times New Roman" w:cs="Times New Roman"/>
        </w:rPr>
        <w:t xml:space="preserve">a gNB may </w:t>
      </w:r>
      <w:r w:rsidR="00D820E2" w:rsidRPr="003E7AEB">
        <w:rPr>
          <w:rFonts w:ascii="Times New Roman" w:hAnsi="Times New Roman" w:cs="Times New Roman"/>
        </w:rPr>
        <w:t xml:space="preserve">have one or multiple DL/UL switches. The </w:t>
      </w:r>
      <w:r w:rsidR="00A27E6E" w:rsidRPr="003E7AEB">
        <w:rPr>
          <w:rFonts w:ascii="Times New Roman" w:hAnsi="Times New Roman" w:cs="Times New Roman"/>
        </w:rPr>
        <w:t>DL/UL switch</w:t>
      </w:r>
      <w:r w:rsidR="002041DD" w:rsidRPr="003E7AEB">
        <w:rPr>
          <w:rFonts w:ascii="Times New Roman" w:hAnsi="Times New Roman" w:cs="Times New Roman"/>
        </w:rPr>
        <w:t>(</w:t>
      </w:r>
      <w:r w:rsidR="00D820E2" w:rsidRPr="003E7AEB">
        <w:rPr>
          <w:rFonts w:ascii="Times New Roman" w:hAnsi="Times New Roman" w:cs="Times New Roman"/>
        </w:rPr>
        <w:t>s</w:t>
      </w:r>
      <w:r w:rsidR="002041DD" w:rsidRPr="003E7AEB">
        <w:rPr>
          <w:rFonts w:ascii="Times New Roman" w:hAnsi="Times New Roman" w:cs="Times New Roman"/>
        </w:rPr>
        <w:t>)</w:t>
      </w:r>
      <w:r w:rsidR="00D820E2" w:rsidRPr="003E7AEB">
        <w:rPr>
          <w:rFonts w:ascii="Times New Roman" w:hAnsi="Times New Roman" w:cs="Times New Roman"/>
        </w:rPr>
        <w:t xml:space="preserve"> could be addressed to </w:t>
      </w:r>
      <w:r w:rsidR="00A27E6E" w:rsidRPr="003E7AEB">
        <w:rPr>
          <w:rFonts w:ascii="Times New Roman" w:hAnsi="Times New Roman" w:cs="Times New Roman"/>
        </w:rPr>
        <w:t xml:space="preserve">one </w:t>
      </w:r>
      <w:r w:rsidR="00D820E2" w:rsidRPr="003E7AEB">
        <w:rPr>
          <w:rFonts w:ascii="Times New Roman" w:hAnsi="Times New Roman" w:cs="Times New Roman"/>
        </w:rPr>
        <w:t xml:space="preserve">or multiple </w:t>
      </w:r>
      <w:r w:rsidR="00A27E6E" w:rsidRPr="003E7AEB">
        <w:rPr>
          <w:rFonts w:ascii="Times New Roman" w:hAnsi="Times New Roman" w:cs="Times New Roman"/>
        </w:rPr>
        <w:t>UE</w:t>
      </w:r>
      <w:r w:rsidR="00D820E2" w:rsidRPr="003E7AEB">
        <w:rPr>
          <w:rFonts w:ascii="Times New Roman" w:hAnsi="Times New Roman" w:cs="Times New Roman"/>
        </w:rPr>
        <w:t>s</w:t>
      </w:r>
      <w:r w:rsidR="00A27E6E" w:rsidRPr="003E7AEB">
        <w:rPr>
          <w:rFonts w:ascii="Times New Roman" w:hAnsi="Times New Roman" w:cs="Times New Roman"/>
        </w:rPr>
        <w:t>. However, it would be more efficient if the gNB</w:t>
      </w:r>
      <w:r w:rsidR="00D820E2" w:rsidRPr="003E7AEB">
        <w:rPr>
          <w:rFonts w:ascii="Times New Roman" w:hAnsi="Times New Roman" w:cs="Times New Roman"/>
        </w:rPr>
        <w:t xml:space="preserve"> notifies the UEs</w:t>
      </w:r>
      <w:r w:rsidR="00A27E6E" w:rsidRPr="003E7AEB">
        <w:rPr>
          <w:rFonts w:ascii="Times New Roman" w:hAnsi="Times New Roman" w:cs="Times New Roman"/>
        </w:rPr>
        <w:t xml:space="preserve"> preferably at the beginning of the COT</w:t>
      </w:r>
      <w:r w:rsidR="00D820E2" w:rsidRPr="003E7AEB">
        <w:rPr>
          <w:rFonts w:ascii="Times New Roman" w:hAnsi="Times New Roman" w:cs="Times New Roman"/>
        </w:rPr>
        <w:t xml:space="preserve">. </w:t>
      </w:r>
      <w:r w:rsidR="00E82DCF" w:rsidRPr="003E7AEB">
        <w:rPr>
          <w:rFonts w:ascii="Times New Roman" w:hAnsi="Times New Roman" w:cs="Times New Roman"/>
        </w:rPr>
        <w:t xml:space="preserve">This helps the UE(s) to prepare for performing LBT ahead of time as well as any potential preparation for transmission in a PUCCH or PUSCH resource. </w:t>
      </w:r>
      <w:r w:rsidR="00E82DCF">
        <w:rPr>
          <w:rFonts w:ascii="Times New Roman" w:hAnsi="Times New Roman" w:cs="Times New Roman"/>
        </w:rPr>
        <w:t xml:space="preserve">Due to these benefits, in RAN1#94b [2] it was agreed to include indication of the COT structure in DCI: </w:t>
      </w:r>
      <w:r w:rsidR="00E82DCF">
        <w:rPr>
          <w:rFonts w:ascii="Times New Roman" w:hAnsi="Times New Roman" w:cs="Times New Roman"/>
          <w:lang w:eastAsia="x-none"/>
        </w:rPr>
        <w:t>“</w:t>
      </w:r>
      <w:r w:rsidR="00E82DCF" w:rsidRPr="00B1504B">
        <w:rPr>
          <w:rFonts w:ascii="Times New Roman" w:hAnsi="Times New Roman" w:cs="Times New Roman"/>
          <w:lang w:eastAsia="x-none"/>
        </w:rPr>
        <w:t>In addition to the functionalities provided by DCI format 2_0 in Rel-15 NR, indication of the COT structure in the time domain has been identified as being beneficial.</w:t>
      </w:r>
      <w:r w:rsidR="00E82DCF">
        <w:rPr>
          <w:rFonts w:ascii="Times New Roman" w:hAnsi="Times New Roman" w:cs="Times New Roman"/>
          <w:lang w:eastAsia="x-none"/>
        </w:rPr>
        <w:t>”</w:t>
      </w:r>
    </w:p>
    <w:p w14:paraId="6E96C83D" w14:textId="7DD79BA1" w:rsidR="00A27E6E" w:rsidRPr="003E7AEB" w:rsidRDefault="00E82DCF" w:rsidP="008716B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A27E6E" w:rsidRPr="003E7AEB">
        <w:rPr>
          <w:rFonts w:ascii="Times New Roman" w:hAnsi="Times New Roman" w:cs="Times New Roman"/>
        </w:rPr>
        <w:t>COT format indicator (CFI)</w:t>
      </w:r>
      <w:r>
        <w:rPr>
          <w:rFonts w:ascii="Times New Roman" w:hAnsi="Times New Roman" w:cs="Times New Roman"/>
        </w:rPr>
        <w:t xml:space="preserve"> </w:t>
      </w:r>
      <w:r w:rsidR="002E720C" w:rsidRPr="003E7AEB">
        <w:rPr>
          <w:rFonts w:ascii="Times New Roman" w:hAnsi="Times New Roman" w:cs="Times New Roman"/>
        </w:rPr>
        <w:t>may be carried in the first mini-slot or slot after a successful LBT, or it may be transmitted in subsequent slots with the same or updated content</w:t>
      </w:r>
      <w:r w:rsidR="00111A99">
        <w:rPr>
          <w:rFonts w:ascii="Times New Roman" w:hAnsi="Times New Roman" w:cs="Times New Roman"/>
        </w:rPr>
        <w:t xml:space="preserve"> (as in PDCCH locations shown in Figure 2)</w:t>
      </w:r>
      <w:r w:rsidR="002E720C" w:rsidRPr="003E7AEB">
        <w:rPr>
          <w:rFonts w:ascii="Times New Roman" w:hAnsi="Times New Roman" w:cs="Times New Roman"/>
        </w:rPr>
        <w:t xml:space="preserve">. </w:t>
      </w:r>
      <w:r w:rsidR="00A27E6E" w:rsidRPr="003E7AEB">
        <w:rPr>
          <w:rFonts w:ascii="Times New Roman" w:hAnsi="Times New Roman" w:cs="Times New Roman"/>
        </w:rPr>
        <w:t xml:space="preserve">We propose to study </w:t>
      </w:r>
      <w:r w:rsidR="00A27E6E" w:rsidRPr="003E7AEB">
        <w:rPr>
          <w:rFonts w:ascii="Times New Roman" w:hAnsi="Times New Roman" w:cs="Times New Roman"/>
          <w:lang w:eastAsia="sv-SE"/>
        </w:rPr>
        <w:t xml:space="preserve">the possibility of transmission of a </w:t>
      </w:r>
      <w:r w:rsidR="00A27E6E" w:rsidRPr="003E7AEB">
        <w:rPr>
          <w:rFonts w:ascii="Times New Roman" w:hAnsi="Times New Roman" w:cs="Times New Roman"/>
        </w:rPr>
        <w:t>CFI at the beginning of a COT.</w:t>
      </w:r>
      <w:r w:rsidR="00067050">
        <w:rPr>
          <w:rFonts w:ascii="Times New Roman" w:hAnsi="Times New Roman" w:cs="Times New Roman"/>
        </w:rPr>
        <w:t xml:space="preserve"> The information carried in the CFI may vary depending on the gNB scheduling, but it should include information such as COT duration, if/when a DL/UL switching is planned. </w:t>
      </w:r>
      <w:r w:rsidR="00A27E6E" w:rsidRPr="003E7AEB">
        <w:rPr>
          <w:rFonts w:ascii="Times New Roman" w:hAnsi="Times New Roman" w:cs="Times New Roman"/>
        </w:rPr>
        <w:t xml:space="preserve">     </w:t>
      </w:r>
    </w:p>
    <w:p w14:paraId="0183EAE9" w14:textId="00B7B3B7" w:rsidR="00A27E6E" w:rsidRPr="00C33F99" w:rsidRDefault="00A27E6E" w:rsidP="008716B3">
      <w:pPr>
        <w:jc w:val="both"/>
        <w:rPr>
          <w:rFonts w:ascii="Times New Roman" w:hAnsi="Times New Roman" w:cs="Times New Roman"/>
          <w:i/>
        </w:rPr>
      </w:pPr>
      <w:r w:rsidRPr="00C33F99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 w:rsidR="00A57E8F" w:rsidRPr="00C33F99">
        <w:rPr>
          <w:rFonts w:ascii="Times New Roman" w:hAnsi="Times New Roman" w:cs="Times New Roman"/>
          <w:b/>
          <w:i/>
          <w:u w:val="single"/>
          <w:lang w:eastAsia="sv-SE"/>
        </w:rPr>
        <w:t>3</w:t>
      </w:r>
      <w:r w:rsidRPr="00C33F99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C33F99">
        <w:rPr>
          <w:rFonts w:ascii="Times New Roman" w:hAnsi="Times New Roman" w:cs="Times New Roman"/>
          <w:i/>
          <w:lang w:eastAsia="sv-SE"/>
        </w:rPr>
        <w:t xml:space="preserve"> </w:t>
      </w:r>
      <w:r w:rsidR="00E82DCF" w:rsidRPr="00C33F99">
        <w:rPr>
          <w:rFonts w:ascii="Times New Roman" w:hAnsi="Times New Roman" w:cs="Times New Roman"/>
          <w:i/>
          <w:lang w:eastAsia="sv-SE"/>
        </w:rPr>
        <w:t xml:space="preserve">The </w:t>
      </w:r>
      <w:r w:rsidRPr="00C33F99">
        <w:rPr>
          <w:rFonts w:ascii="Times New Roman" w:hAnsi="Times New Roman" w:cs="Times New Roman"/>
          <w:i/>
        </w:rPr>
        <w:t xml:space="preserve">COT format indicator </w:t>
      </w:r>
      <w:r w:rsidR="00E82DCF" w:rsidRPr="00C33F99">
        <w:rPr>
          <w:rFonts w:ascii="Times New Roman" w:hAnsi="Times New Roman" w:cs="Times New Roman"/>
          <w:i/>
        </w:rPr>
        <w:t xml:space="preserve">may indicate the following: the entire and/or remaining duration of the COT, expected DL/UL and UL/DL switching points, indications on LBT categories to be performed by UE </w:t>
      </w:r>
      <w:r w:rsidR="00B52FCB">
        <w:rPr>
          <w:rFonts w:ascii="Times New Roman" w:hAnsi="Times New Roman" w:cs="Times New Roman"/>
          <w:i/>
        </w:rPr>
        <w:t>after a DL/UL swiching point.</w:t>
      </w:r>
    </w:p>
    <w:p w14:paraId="1503D288" w14:textId="19D751E8" w:rsidR="00ED07CA" w:rsidRPr="003E7AEB" w:rsidRDefault="00ED07CA" w:rsidP="006232BE">
      <w:pPr>
        <w:pStyle w:val="Heading1"/>
        <w:pBdr>
          <w:top w:val="single" w:sz="12" w:space="5" w:color="auto"/>
        </w:pBdr>
        <w:spacing w:after="120"/>
        <w:jc w:val="both"/>
        <w:rPr>
          <w:rFonts w:ascii="Times New Roman" w:hAnsi="Times New Roman"/>
          <w:b/>
          <w:sz w:val="32"/>
          <w:szCs w:val="32"/>
          <w:lang w:val="en-US"/>
        </w:rPr>
      </w:pPr>
      <w:r w:rsidRPr="003E7AEB">
        <w:rPr>
          <w:rFonts w:ascii="Times New Roman" w:hAnsi="Times New Roman"/>
          <w:b/>
          <w:sz w:val="32"/>
          <w:szCs w:val="32"/>
          <w:lang w:val="en-US"/>
        </w:rPr>
        <w:t>Subcarrier spacing for NR-U</w:t>
      </w:r>
    </w:p>
    <w:p w14:paraId="48E22286" w14:textId="4FD43D45" w:rsidR="00876D61" w:rsidRPr="003E7AEB" w:rsidRDefault="003721E1" w:rsidP="003721E1">
      <w:pPr>
        <w:jc w:val="both"/>
        <w:rPr>
          <w:rFonts w:ascii="Times New Roman" w:hAnsi="Times New Roman" w:cs="Times New Roman"/>
          <w:lang w:val="en-GB"/>
        </w:rPr>
      </w:pPr>
      <w:r w:rsidRPr="003E7AEB">
        <w:rPr>
          <w:rFonts w:ascii="Times New Roman" w:hAnsi="Times New Roman" w:cs="Times New Roman"/>
          <w:lang w:val="en-GB"/>
        </w:rPr>
        <w:t xml:space="preserve">NR </w:t>
      </w:r>
      <w:r w:rsidR="00876D61" w:rsidRPr="003E7AEB">
        <w:rPr>
          <w:rFonts w:ascii="Times New Roman" w:hAnsi="Times New Roman" w:cs="Times New Roman"/>
          <w:lang w:val="en-GB"/>
        </w:rPr>
        <w:t>subcarrier spacing</w:t>
      </w:r>
      <w:r w:rsidRPr="003E7AEB">
        <w:rPr>
          <w:rFonts w:ascii="Times New Roman" w:hAnsi="Times New Roman" w:cs="Times New Roman"/>
          <w:lang w:val="en-GB"/>
        </w:rPr>
        <w:t xml:space="preserve"> for</w:t>
      </w:r>
      <w:r w:rsidR="00876D61" w:rsidRPr="003E7AEB">
        <w:rPr>
          <w:rFonts w:ascii="Times New Roman" w:hAnsi="Times New Roman" w:cs="Times New Roman"/>
          <w:lang w:val="en-GB"/>
        </w:rPr>
        <w:t xml:space="preserve"> </w:t>
      </w:r>
      <w:r w:rsidRPr="003E7AEB">
        <w:rPr>
          <w:rFonts w:ascii="Times New Roman" w:hAnsi="Times New Roman" w:cs="Times New Roman"/>
          <w:lang w:val="en-GB"/>
        </w:rPr>
        <w:t xml:space="preserve">sub-7GHz </w:t>
      </w:r>
      <w:r w:rsidR="004E3302" w:rsidRPr="003E7AEB">
        <w:rPr>
          <w:rFonts w:ascii="Times New Roman" w:hAnsi="Times New Roman" w:cs="Times New Roman"/>
          <w:lang w:val="en-GB"/>
        </w:rPr>
        <w:t xml:space="preserve">spectrum </w:t>
      </w:r>
      <w:r w:rsidRPr="003E7AEB">
        <w:rPr>
          <w:rFonts w:ascii="Times New Roman" w:hAnsi="Times New Roman" w:cs="Times New Roman"/>
          <w:lang w:val="en-GB"/>
        </w:rPr>
        <w:t>are 15, 30</w:t>
      </w:r>
      <w:r w:rsidR="004E3302" w:rsidRPr="003E7AEB">
        <w:rPr>
          <w:rFonts w:ascii="Times New Roman" w:hAnsi="Times New Roman" w:cs="Times New Roman"/>
          <w:lang w:val="en-GB"/>
        </w:rPr>
        <w:t xml:space="preserve"> and</w:t>
      </w:r>
      <w:r w:rsidRPr="003E7AEB">
        <w:rPr>
          <w:rFonts w:ascii="Times New Roman" w:hAnsi="Times New Roman" w:cs="Times New Roman"/>
          <w:lang w:val="en-GB"/>
        </w:rPr>
        <w:t xml:space="preserve"> 60 kHz</w:t>
      </w:r>
      <w:r w:rsidR="00B1781D" w:rsidRPr="003E7AEB">
        <w:rPr>
          <w:rFonts w:ascii="Times New Roman" w:hAnsi="Times New Roman" w:cs="Times New Roman"/>
          <w:lang w:val="en-GB"/>
        </w:rPr>
        <w:t xml:space="preserve"> with </w:t>
      </w:r>
      <w:r w:rsidRPr="003E7AEB">
        <w:rPr>
          <w:rFonts w:ascii="Times New Roman" w:hAnsi="Times New Roman" w:cs="Times New Roman"/>
          <w:lang w:val="en-GB"/>
        </w:rPr>
        <w:t>OFDM symbol duration of 66.67, 33.33, and 16.67 µs</w:t>
      </w:r>
      <w:r w:rsidR="004827AF" w:rsidRPr="003E7AEB">
        <w:rPr>
          <w:rFonts w:ascii="Times New Roman" w:hAnsi="Times New Roman" w:cs="Times New Roman"/>
          <w:lang w:val="en-GB"/>
        </w:rPr>
        <w:t xml:space="preserve"> </w:t>
      </w:r>
      <w:r w:rsidR="00723E85">
        <w:rPr>
          <w:rFonts w:ascii="Times New Roman" w:hAnsi="Times New Roman" w:cs="Times New Roman"/>
          <w:lang w:val="en-GB"/>
        </w:rPr>
        <w:t xml:space="preserve">(or 71.36, 35.67, </w:t>
      </w:r>
      <w:r w:rsidR="005A184B">
        <w:rPr>
          <w:rFonts w:ascii="Times New Roman" w:hAnsi="Times New Roman" w:cs="Times New Roman"/>
          <w:lang w:val="en-GB"/>
        </w:rPr>
        <w:t>and</w:t>
      </w:r>
      <w:r w:rsidR="00723E85">
        <w:rPr>
          <w:rFonts w:ascii="Times New Roman" w:hAnsi="Times New Roman" w:cs="Times New Roman"/>
          <w:lang w:val="en-GB"/>
        </w:rPr>
        <w:t xml:space="preserve"> 17.84 </w:t>
      </w:r>
      <w:r w:rsidR="00723E85" w:rsidRPr="003E7AEB">
        <w:rPr>
          <w:rFonts w:ascii="Times New Roman" w:hAnsi="Times New Roman" w:cs="Times New Roman"/>
          <w:lang w:val="en-GB"/>
        </w:rPr>
        <w:t xml:space="preserve">µs </w:t>
      </w:r>
      <w:r w:rsidR="00723E85">
        <w:rPr>
          <w:rFonts w:ascii="Times New Roman" w:hAnsi="Times New Roman" w:cs="Times New Roman"/>
          <w:lang w:val="en-GB"/>
        </w:rPr>
        <w:t xml:space="preserve">including CP) </w:t>
      </w:r>
      <w:r w:rsidR="004827AF" w:rsidRPr="003E7AEB">
        <w:rPr>
          <w:rFonts w:ascii="Times New Roman" w:hAnsi="Times New Roman" w:cs="Times New Roman"/>
          <w:lang w:val="en-GB"/>
        </w:rPr>
        <w:t>respectively</w:t>
      </w:r>
      <w:r w:rsidRPr="003E7AEB">
        <w:rPr>
          <w:rFonts w:ascii="Times New Roman" w:hAnsi="Times New Roman" w:cs="Times New Roman"/>
          <w:lang w:val="en-GB"/>
        </w:rPr>
        <w:t>. With the longer symbol duration there would be more chance of having a gap between the time that a gNB successfully completes an LBT procedure and the beginning of the upcoming OFDM symbol</w:t>
      </w:r>
      <w:r w:rsidR="0079238C" w:rsidRPr="003E7AEB">
        <w:rPr>
          <w:rFonts w:ascii="Times New Roman" w:hAnsi="Times New Roman" w:cs="Times New Roman"/>
          <w:lang w:val="en-GB"/>
        </w:rPr>
        <w:t>. This gap</w:t>
      </w:r>
      <w:r w:rsidRPr="003E7AEB">
        <w:rPr>
          <w:rFonts w:ascii="Times New Roman" w:hAnsi="Times New Roman" w:cs="Times New Roman"/>
          <w:lang w:val="en-GB"/>
        </w:rPr>
        <w:t xml:space="preserve"> </w:t>
      </w:r>
      <w:r w:rsidR="0079238C" w:rsidRPr="003E7AEB">
        <w:rPr>
          <w:rFonts w:ascii="Times New Roman" w:hAnsi="Times New Roman" w:cs="Times New Roman"/>
          <w:lang w:val="en-GB"/>
        </w:rPr>
        <w:t xml:space="preserve">could </w:t>
      </w:r>
      <w:r w:rsidRPr="003E7AEB">
        <w:rPr>
          <w:rFonts w:ascii="Times New Roman" w:hAnsi="Times New Roman" w:cs="Times New Roman"/>
          <w:lang w:val="en-GB"/>
        </w:rPr>
        <w:t xml:space="preserve">be wasted by the gNB </w:t>
      </w:r>
      <w:r w:rsidR="0079238C" w:rsidRPr="003E7AEB">
        <w:rPr>
          <w:rFonts w:ascii="Times New Roman" w:hAnsi="Times New Roman" w:cs="Times New Roman"/>
          <w:lang w:val="en-GB"/>
        </w:rPr>
        <w:t xml:space="preserve">either by </w:t>
      </w:r>
      <w:r w:rsidRPr="003E7AEB">
        <w:rPr>
          <w:rFonts w:ascii="Times New Roman" w:hAnsi="Times New Roman" w:cs="Times New Roman"/>
          <w:lang w:val="en-GB"/>
        </w:rPr>
        <w:t xml:space="preserve">transmitting nothing or transmitting a reservation signal. From this perspective, the larger subcarrier spacing </w:t>
      </w:r>
      <w:r w:rsidR="00B1781D" w:rsidRPr="003E7AEB">
        <w:rPr>
          <w:rFonts w:ascii="Times New Roman" w:hAnsi="Times New Roman" w:cs="Times New Roman"/>
          <w:lang w:val="en-GB"/>
        </w:rPr>
        <w:t xml:space="preserve">(with shorter symbol duration) </w:t>
      </w:r>
      <w:r w:rsidRPr="003E7AEB">
        <w:rPr>
          <w:rFonts w:ascii="Times New Roman" w:hAnsi="Times New Roman" w:cs="Times New Roman"/>
          <w:lang w:val="en-GB"/>
        </w:rPr>
        <w:t xml:space="preserve">is more </w:t>
      </w:r>
      <w:r w:rsidR="00B1781D" w:rsidRPr="003E7AEB">
        <w:rPr>
          <w:rFonts w:ascii="Times New Roman" w:hAnsi="Times New Roman" w:cs="Times New Roman"/>
          <w:lang w:val="en-GB"/>
        </w:rPr>
        <w:t>advantageous</w:t>
      </w:r>
      <w:r w:rsidRPr="003E7AEB">
        <w:rPr>
          <w:rFonts w:ascii="Times New Roman" w:hAnsi="Times New Roman" w:cs="Times New Roman"/>
          <w:lang w:val="en-GB"/>
        </w:rPr>
        <w:t xml:space="preserve">.    </w:t>
      </w:r>
    </w:p>
    <w:p w14:paraId="481E57BB" w14:textId="0CEE939B" w:rsidR="004827AF" w:rsidRPr="003E7AEB" w:rsidRDefault="003721E1" w:rsidP="004827AF">
      <w:pPr>
        <w:jc w:val="both"/>
        <w:rPr>
          <w:rFonts w:ascii="Times New Roman" w:hAnsi="Times New Roman" w:cs="Times New Roman"/>
          <w:lang w:val="en-GB"/>
        </w:rPr>
      </w:pPr>
      <w:r w:rsidRPr="003E7AEB">
        <w:rPr>
          <w:rFonts w:ascii="Times New Roman" w:hAnsi="Times New Roman" w:cs="Times New Roman"/>
          <w:lang w:val="en-GB"/>
        </w:rPr>
        <w:t xml:space="preserve">On the other hand, the </w:t>
      </w:r>
      <w:r w:rsidR="004827AF" w:rsidRPr="003E7AEB">
        <w:rPr>
          <w:rFonts w:ascii="Times New Roman" w:hAnsi="Times New Roman" w:cs="Times New Roman"/>
          <w:lang w:val="en-GB"/>
        </w:rPr>
        <w:t>maximum number of RBs for subcarrier spacing 15, 30, and 60 kHz (for 20MHz bandwidth) are 106, 51 and 24 respectively [</w:t>
      </w:r>
      <w:r w:rsidR="005E308E">
        <w:rPr>
          <w:rFonts w:ascii="Times New Roman" w:hAnsi="Times New Roman" w:cs="Times New Roman"/>
          <w:lang w:val="en-GB"/>
        </w:rPr>
        <w:t>3</w:t>
      </w:r>
      <w:r w:rsidR="004827AF" w:rsidRPr="003E7AEB">
        <w:rPr>
          <w:rFonts w:ascii="Times New Roman" w:hAnsi="Times New Roman" w:cs="Times New Roman"/>
          <w:lang w:val="en-GB"/>
        </w:rPr>
        <w:t>]. This leads to an 3.7</w:t>
      </w:r>
      <w:r w:rsidR="0079238C" w:rsidRPr="003E7AEB">
        <w:rPr>
          <w:rFonts w:ascii="Times New Roman" w:hAnsi="Times New Roman" w:cs="Times New Roman"/>
          <w:lang w:val="en-GB"/>
        </w:rPr>
        <w:t>%</w:t>
      </w:r>
      <w:r w:rsidR="004827AF" w:rsidRPr="003E7AEB">
        <w:rPr>
          <w:rFonts w:ascii="Times New Roman" w:hAnsi="Times New Roman" w:cs="Times New Roman"/>
          <w:lang w:val="en-GB"/>
        </w:rPr>
        <w:t xml:space="preserve"> </w:t>
      </w:r>
      <w:r w:rsidR="003E7AEB" w:rsidRPr="003E7AEB">
        <w:rPr>
          <w:rFonts w:ascii="Times New Roman" w:hAnsi="Times New Roman" w:cs="Times New Roman"/>
          <w:lang w:val="en-GB"/>
        </w:rPr>
        <w:t xml:space="preserve">and 9.4% overhead </w:t>
      </w:r>
      <w:r w:rsidR="004827AF" w:rsidRPr="003E7AEB">
        <w:rPr>
          <w:rFonts w:ascii="Times New Roman" w:hAnsi="Times New Roman" w:cs="Times New Roman"/>
          <w:lang w:val="en-GB"/>
        </w:rPr>
        <w:t xml:space="preserve">for SCS=30kHz </w:t>
      </w:r>
      <w:r w:rsidR="003E7AEB" w:rsidRPr="003E7AEB">
        <w:rPr>
          <w:rFonts w:ascii="Times New Roman" w:hAnsi="Times New Roman" w:cs="Times New Roman"/>
          <w:lang w:val="en-GB"/>
        </w:rPr>
        <w:t xml:space="preserve">and </w:t>
      </w:r>
      <w:r w:rsidR="004827AF" w:rsidRPr="003E7AEB">
        <w:rPr>
          <w:rFonts w:ascii="Times New Roman" w:hAnsi="Times New Roman" w:cs="Times New Roman"/>
          <w:lang w:val="en-GB"/>
        </w:rPr>
        <w:t xml:space="preserve">SCS=60kHz </w:t>
      </w:r>
      <w:r w:rsidR="003E7AEB" w:rsidRPr="003E7AEB">
        <w:rPr>
          <w:rFonts w:ascii="Times New Roman" w:hAnsi="Times New Roman" w:cs="Times New Roman"/>
          <w:lang w:val="en-GB"/>
        </w:rPr>
        <w:t>respectively compared to</w:t>
      </w:r>
      <w:r w:rsidR="004827AF" w:rsidRPr="003E7AEB">
        <w:rPr>
          <w:rFonts w:ascii="Times New Roman" w:hAnsi="Times New Roman" w:cs="Times New Roman"/>
          <w:lang w:val="en-GB"/>
        </w:rPr>
        <w:t xml:space="preserve"> SCS=15kHz. This basically may wipe out the </w:t>
      </w:r>
      <w:r w:rsidR="0079238C" w:rsidRPr="003E7AEB">
        <w:rPr>
          <w:rFonts w:ascii="Times New Roman" w:hAnsi="Times New Roman" w:cs="Times New Roman"/>
          <w:lang w:val="en-GB"/>
        </w:rPr>
        <w:t xml:space="preserve">above-stated </w:t>
      </w:r>
      <w:r w:rsidR="004827AF" w:rsidRPr="003E7AEB">
        <w:rPr>
          <w:rFonts w:ascii="Times New Roman" w:hAnsi="Times New Roman" w:cs="Times New Roman"/>
          <w:lang w:val="en-GB"/>
        </w:rPr>
        <w:t xml:space="preserve">advantage of larger subcarrier spacing compared to SCS=15kHz. Moreover, depending on type of deployment, there is a </w:t>
      </w:r>
      <w:r w:rsidR="004827AF" w:rsidRPr="003E7AEB">
        <w:rPr>
          <w:rFonts w:ascii="Times New Roman" w:hAnsi="Times New Roman" w:cs="Times New Roman"/>
          <w:lang w:val="en-GB"/>
        </w:rPr>
        <w:lastRenderedPageBreak/>
        <w:t>chance that for SCS=60kHz the extended cyclic prefix may be used, further adding to the overhead of SCS=60kHz.</w:t>
      </w:r>
      <w:r w:rsidR="00C33F99">
        <w:rPr>
          <w:rFonts w:ascii="Times New Roman" w:hAnsi="Times New Roman" w:cs="Times New Roman"/>
          <w:lang w:val="en-GB"/>
        </w:rPr>
        <w:t xml:space="preserve"> It has been identified in RAN1#94b that additional spec development is required if SCS=60kHz is considered for NR-U operation [2]. Given these facts, we believe that for </w:t>
      </w:r>
      <w:r w:rsidR="00C33F99" w:rsidRPr="00C33F99">
        <w:rPr>
          <w:rFonts w:ascii="Times New Roman" w:hAnsi="Times New Roman" w:cs="Times New Roman"/>
          <w:lang w:val="en-GB"/>
        </w:rPr>
        <w:t>NR-U operation, SCS=60kHz should be down prioritized.</w:t>
      </w:r>
      <w:r w:rsidR="00C33F99">
        <w:rPr>
          <w:rFonts w:ascii="Times New Roman" w:hAnsi="Times New Roman" w:cs="Times New Roman"/>
          <w:lang w:val="en-GB"/>
        </w:rPr>
        <w:t xml:space="preserve"> </w:t>
      </w:r>
    </w:p>
    <w:p w14:paraId="509AE182" w14:textId="0E7D5782" w:rsidR="0061520B" w:rsidRPr="00B52FCB" w:rsidRDefault="0061520B" w:rsidP="004B04C1">
      <w:pPr>
        <w:jc w:val="both"/>
        <w:rPr>
          <w:rFonts w:ascii="Times New Roman" w:hAnsi="Times New Roman" w:cs="Times New Roman"/>
          <w:i/>
          <w:lang w:val="en-GB"/>
        </w:rPr>
      </w:pPr>
      <w:r w:rsidRPr="00B52FCB">
        <w:rPr>
          <w:rFonts w:ascii="Times New Roman" w:hAnsi="Times New Roman" w:cs="Times New Roman"/>
          <w:b/>
          <w:i/>
          <w:u w:val="single"/>
          <w:lang w:val="en-GB"/>
        </w:rPr>
        <w:t>Proposal 4:</w:t>
      </w:r>
      <w:r w:rsidRPr="00B52FCB">
        <w:rPr>
          <w:rFonts w:ascii="Times New Roman" w:hAnsi="Times New Roman" w:cs="Times New Roman"/>
          <w:i/>
          <w:lang w:val="en-GB"/>
        </w:rPr>
        <w:t xml:space="preserve"> </w:t>
      </w:r>
      <w:bookmarkStart w:id="4" w:name="_Hlk528922256"/>
      <w:r w:rsidRPr="00B52FCB">
        <w:rPr>
          <w:rFonts w:ascii="Times New Roman" w:hAnsi="Times New Roman" w:cs="Times New Roman"/>
          <w:i/>
          <w:lang w:val="en-GB"/>
        </w:rPr>
        <w:t>For NR-U operation, SCS=60kHz should be down prioritize</w:t>
      </w:r>
      <w:r w:rsidR="007D2488" w:rsidRPr="00B52FCB">
        <w:rPr>
          <w:rFonts w:ascii="Times New Roman" w:hAnsi="Times New Roman" w:cs="Times New Roman"/>
          <w:i/>
          <w:lang w:val="en-GB"/>
        </w:rPr>
        <w:t>d</w:t>
      </w:r>
      <w:r w:rsidRPr="00B52FCB">
        <w:rPr>
          <w:rFonts w:ascii="Times New Roman" w:hAnsi="Times New Roman" w:cs="Times New Roman"/>
          <w:i/>
          <w:lang w:val="en-GB"/>
        </w:rPr>
        <w:t>.</w:t>
      </w:r>
      <w:bookmarkEnd w:id="4"/>
      <w:r w:rsidRPr="00B52FCB">
        <w:rPr>
          <w:rFonts w:ascii="Times New Roman" w:hAnsi="Times New Roman" w:cs="Times New Roman"/>
          <w:i/>
          <w:lang w:val="en-GB"/>
        </w:rPr>
        <w:t xml:space="preserve"> </w:t>
      </w:r>
    </w:p>
    <w:p w14:paraId="74FEF08F" w14:textId="6E3B9B86" w:rsidR="0061520B" w:rsidRPr="00B52FCB" w:rsidRDefault="0061520B" w:rsidP="0061520B">
      <w:pPr>
        <w:pStyle w:val="Heading2"/>
        <w:rPr>
          <w:rFonts w:ascii="Times New Roman" w:hAnsi="Times New Roman"/>
          <w:lang w:val="en-US"/>
        </w:rPr>
      </w:pPr>
      <w:r w:rsidRPr="00B52FCB">
        <w:rPr>
          <w:rFonts w:ascii="Times New Roman" w:hAnsi="Times New Roman"/>
        </w:rPr>
        <w:t xml:space="preserve">Listen interval </w:t>
      </w:r>
      <w:r w:rsidR="007A6D80" w:rsidRPr="00B52FCB">
        <w:rPr>
          <w:rFonts w:ascii="Times New Roman" w:hAnsi="Times New Roman"/>
        </w:rPr>
        <w:t>alignment</w:t>
      </w:r>
    </w:p>
    <w:p w14:paraId="735F96BB" w14:textId="7D6C5813" w:rsidR="0061520B" w:rsidRPr="00B52FCB" w:rsidRDefault="0061520B" w:rsidP="0061520B">
      <w:pPr>
        <w:jc w:val="both"/>
        <w:rPr>
          <w:rFonts w:ascii="Times New Roman" w:hAnsi="Times New Roman" w:cs="Times New Roman"/>
          <w:color w:val="000000" w:themeColor="text1"/>
        </w:rPr>
      </w:pPr>
      <w:r w:rsidRPr="00B52FCB">
        <w:rPr>
          <w:rFonts w:ascii="Times New Roman" w:hAnsi="Times New Roman" w:cs="Times New Roman"/>
          <w:color w:val="000000" w:themeColor="text1"/>
        </w:rPr>
        <w:t>When an NR-U device finishes the listen interval it may not be at the beginning of an OFDM symbol. Therefore, there would be a partial duration of an OFDM symbol before the start of a full symbol. In NR-U, the effect of a partial OFDM symbol may be more pronounced since the duration of an OFDM symbol ranges from 16.67µs to 66.67µs (considering choices for sub-7GHz). For instance, for 15 kHz subcarrier spacing an OFDM symbol with CP has the duration of 71.35 µs and refraining from transmission for a part of this duration (until beginning of the next symbol) could be significant enough to allow a competing NR-U</w:t>
      </w:r>
      <w:r w:rsidR="00C33F99" w:rsidRPr="00B52FCB">
        <w:rPr>
          <w:rFonts w:ascii="Times New Roman" w:hAnsi="Times New Roman" w:cs="Times New Roman"/>
          <w:color w:val="000000" w:themeColor="text1"/>
        </w:rPr>
        <w:t xml:space="preserve"> or inter-RAT</w:t>
      </w:r>
      <w:r w:rsidRPr="00B52FCB">
        <w:rPr>
          <w:rFonts w:ascii="Times New Roman" w:hAnsi="Times New Roman" w:cs="Times New Roman"/>
          <w:color w:val="000000" w:themeColor="text1"/>
        </w:rPr>
        <w:t xml:space="preserve"> device to grab the channel. </w:t>
      </w:r>
    </w:p>
    <w:p w14:paraId="20889165" w14:textId="12F09D8C" w:rsidR="0061520B" w:rsidRPr="006C6C98" w:rsidRDefault="0061520B" w:rsidP="0061520B">
      <w:pPr>
        <w:jc w:val="both"/>
        <w:rPr>
          <w:rFonts w:ascii="Times New Roman" w:hAnsi="Times New Roman" w:cs="Times New Roman"/>
          <w:lang w:val="en-GB"/>
        </w:rPr>
      </w:pPr>
      <w:r w:rsidRPr="00B52FCB">
        <w:rPr>
          <w:rFonts w:ascii="Times New Roman" w:hAnsi="Times New Roman" w:cs="Times New Roman"/>
          <w:lang w:val="en-GB"/>
        </w:rPr>
        <w:t>The above-mentioned disadvantage of longer OFDM symbol duration of SCS=15/30Hz may be avoided if the listen interval of an LBT procedure is adjusted to be aligned with the next/previous OFDM symbol, avoiding a partial OFDM symbol after the LBT listen interval. This adjustment of listen interval has to be performed s</w:t>
      </w:r>
      <w:r w:rsidR="006C6C98">
        <w:rPr>
          <w:rFonts w:ascii="Times New Roman" w:hAnsi="Times New Roman" w:cs="Times New Roman"/>
          <w:lang w:val="en-GB"/>
        </w:rPr>
        <w:t xml:space="preserve">o that fairness is not harmed. </w:t>
      </w:r>
      <w:r w:rsidRPr="00B52FCB">
        <w:rPr>
          <w:rFonts w:ascii="Times New Roman" w:hAnsi="Times New Roman" w:cs="Times New Roman"/>
          <w:color w:val="000000" w:themeColor="text1"/>
        </w:rPr>
        <w:t xml:space="preserve">For instance, it is possible to allow the alignment of the end of an LBT listen interval </w:t>
      </w:r>
      <w:r w:rsidR="00B52FCB" w:rsidRPr="00B52FCB">
        <w:rPr>
          <w:rFonts w:ascii="Times New Roman" w:hAnsi="Times New Roman" w:cs="Times New Roman"/>
          <w:color w:val="000000" w:themeColor="text1"/>
        </w:rPr>
        <w:t xml:space="preserve">(for LBT Cat-3 and Cat-4) </w:t>
      </w:r>
      <w:r w:rsidRPr="00B52FCB">
        <w:rPr>
          <w:rFonts w:ascii="Times New Roman" w:hAnsi="Times New Roman" w:cs="Times New Roman"/>
          <w:color w:val="000000" w:themeColor="text1"/>
        </w:rPr>
        <w:t xml:space="preserve">to </w:t>
      </w:r>
      <w:r w:rsidR="00B52FCB" w:rsidRPr="00B52FCB">
        <w:rPr>
          <w:rFonts w:ascii="Times New Roman" w:hAnsi="Times New Roman" w:cs="Times New Roman"/>
          <w:color w:val="000000" w:themeColor="text1"/>
        </w:rPr>
        <w:t>the next or previous</w:t>
      </w:r>
      <w:r w:rsidR="00C33F99" w:rsidRPr="00B52FCB">
        <w:rPr>
          <w:rFonts w:ascii="Times New Roman" w:hAnsi="Times New Roman" w:cs="Times New Roman"/>
          <w:color w:val="000000" w:themeColor="text1"/>
        </w:rPr>
        <w:t xml:space="preserve"> </w:t>
      </w:r>
      <w:r w:rsidRPr="00B52FCB">
        <w:rPr>
          <w:rFonts w:ascii="Times New Roman" w:hAnsi="Times New Roman" w:cs="Times New Roman"/>
          <w:color w:val="000000" w:themeColor="text1"/>
        </w:rPr>
        <w:t>OFDM symbol boundary. Such alignment sometimes should be in form of truncation of the listen interval (if the truncation is not excessive) and sometimes should be in form of lengthe</w:t>
      </w:r>
      <w:r w:rsidR="00B52FCB" w:rsidRPr="00B52FCB">
        <w:rPr>
          <w:rFonts w:ascii="Times New Roman" w:hAnsi="Times New Roman" w:cs="Times New Roman"/>
          <w:color w:val="000000" w:themeColor="text1"/>
        </w:rPr>
        <w:t>ning the listen interval just as</w:t>
      </w:r>
      <w:r w:rsidRPr="00B52FCB">
        <w:rPr>
          <w:rFonts w:ascii="Times New Roman" w:hAnsi="Times New Roman" w:cs="Times New Roman"/>
          <w:color w:val="000000" w:themeColor="text1"/>
        </w:rPr>
        <w:t xml:space="preserve"> much to be aligned with the next OFDM symbol boundary. In order to have a fair access to the channel, the truncation and lengthening of the listen interval for symbol alignment should be done uniformly so that on average a gNB</w:t>
      </w:r>
      <w:r w:rsidR="00B52FCB" w:rsidRPr="00B52FCB">
        <w:rPr>
          <w:rFonts w:ascii="Times New Roman" w:hAnsi="Times New Roman" w:cs="Times New Roman"/>
          <w:color w:val="000000" w:themeColor="text1"/>
        </w:rPr>
        <w:t xml:space="preserve"> (or UE) that</w:t>
      </w:r>
      <w:r w:rsidRPr="00B52FCB">
        <w:rPr>
          <w:rFonts w:ascii="Times New Roman" w:hAnsi="Times New Roman" w:cs="Times New Roman"/>
          <w:color w:val="000000" w:themeColor="text1"/>
        </w:rPr>
        <w:t xml:space="preserve"> accesses the channel half of the time with shortening the listen interval and half of the time with lengthening of the listen interval</w:t>
      </w:r>
      <w:r w:rsidR="00B52FCB" w:rsidRPr="00B52FCB">
        <w:rPr>
          <w:rFonts w:ascii="Times New Roman" w:hAnsi="Times New Roman" w:cs="Times New Roman"/>
          <w:color w:val="000000" w:themeColor="text1"/>
        </w:rPr>
        <w:t xml:space="preserve">. </w:t>
      </w:r>
    </w:p>
    <w:p w14:paraId="2C691C21" w14:textId="6D1A707D" w:rsidR="0061520B" w:rsidRPr="00B52FCB" w:rsidRDefault="0061520B" w:rsidP="0061520B">
      <w:pPr>
        <w:jc w:val="both"/>
        <w:rPr>
          <w:rFonts w:ascii="Times New Roman" w:hAnsi="Times New Roman" w:cs="Times New Roman"/>
          <w:i/>
          <w:color w:val="000000" w:themeColor="text1"/>
        </w:rPr>
      </w:pPr>
      <w:r w:rsidRPr="00B52FCB">
        <w:rPr>
          <w:rFonts w:ascii="Times New Roman" w:hAnsi="Times New Roman" w:cs="Times New Roman"/>
          <w:b/>
          <w:i/>
          <w:color w:val="000000" w:themeColor="text1"/>
          <w:u w:val="single"/>
        </w:rPr>
        <w:t>Proposal 5:</w:t>
      </w:r>
      <w:r w:rsidRPr="00B52FCB">
        <w:rPr>
          <w:rFonts w:ascii="Times New Roman" w:hAnsi="Times New Roman" w:cs="Times New Roman"/>
          <w:i/>
          <w:color w:val="000000" w:themeColor="text1"/>
        </w:rPr>
        <w:t xml:space="preserve"> NR should study the </w:t>
      </w:r>
      <w:r w:rsidR="00B52FCB" w:rsidRPr="00B52FCB">
        <w:rPr>
          <w:rFonts w:ascii="Times New Roman" w:hAnsi="Times New Roman" w:cs="Times New Roman"/>
          <w:i/>
          <w:color w:val="000000" w:themeColor="text1"/>
        </w:rPr>
        <w:t xml:space="preserve">possibility </w:t>
      </w:r>
      <w:r w:rsidRPr="00B52FCB">
        <w:rPr>
          <w:rFonts w:ascii="Times New Roman" w:hAnsi="Times New Roman" w:cs="Times New Roman"/>
          <w:i/>
          <w:color w:val="000000" w:themeColor="text1"/>
        </w:rPr>
        <w:t xml:space="preserve">of </w:t>
      </w:r>
      <w:r w:rsidR="00B2702D" w:rsidRPr="00B52FCB">
        <w:rPr>
          <w:rFonts w:ascii="Times New Roman" w:hAnsi="Times New Roman" w:cs="Times New Roman"/>
          <w:i/>
          <w:color w:val="000000" w:themeColor="text1"/>
        </w:rPr>
        <w:t xml:space="preserve">listen interval </w:t>
      </w:r>
      <w:r w:rsidR="007A6D80" w:rsidRPr="00B52FCB">
        <w:rPr>
          <w:rFonts w:ascii="Times New Roman" w:hAnsi="Times New Roman" w:cs="Times New Roman"/>
          <w:i/>
          <w:color w:val="000000" w:themeColor="text1"/>
        </w:rPr>
        <w:t>alignment</w:t>
      </w:r>
      <w:r w:rsidR="007D2488" w:rsidRPr="00B52FCB">
        <w:rPr>
          <w:rFonts w:ascii="Times New Roman" w:hAnsi="Times New Roman" w:cs="Times New Roman"/>
          <w:i/>
          <w:color w:val="000000" w:themeColor="text1"/>
        </w:rPr>
        <w:t xml:space="preserve"> (</w:t>
      </w:r>
      <w:r w:rsidR="00B2702D" w:rsidRPr="00B52FCB">
        <w:rPr>
          <w:rFonts w:ascii="Times New Roman" w:hAnsi="Times New Roman" w:cs="Times New Roman"/>
          <w:i/>
          <w:color w:val="000000" w:themeColor="text1"/>
        </w:rPr>
        <w:t xml:space="preserve">for </w:t>
      </w:r>
      <w:r w:rsidRPr="00B52FCB">
        <w:rPr>
          <w:rFonts w:ascii="Times New Roman" w:hAnsi="Times New Roman" w:cs="Times New Roman"/>
          <w:i/>
          <w:color w:val="000000" w:themeColor="text1"/>
        </w:rPr>
        <w:t>LBT Cat-3 and Cat-4</w:t>
      </w:r>
      <w:r w:rsidR="007D2488" w:rsidRPr="00B52FCB">
        <w:rPr>
          <w:rFonts w:ascii="Times New Roman" w:hAnsi="Times New Roman" w:cs="Times New Roman"/>
          <w:i/>
          <w:color w:val="000000" w:themeColor="text1"/>
        </w:rPr>
        <w:t xml:space="preserve">) </w:t>
      </w:r>
      <w:r w:rsidRPr="00B52FCB">
        <w:rPr>
          <w:rFonts w:ascii="Times New Roman" w:hAnsi="Times New Roman" w:cs="Times New Roman"/>
          <w:i/>
          <w:color w:val="000000" w:themeColor="text1"/>
        </w:rPr>
        <w:t>to OFDM symbol boundary</w:t>
      </w:r>
      <w:r w:rsidR="007D2488" w:rsidRPr="00B52FCB">
        <w:rPr>
          <w:rFonts w:ascii="Times New Roman" w:hAnsi="Times New Roman" w:cs="Times New Roman"/>
          <w:i/>
          <w:color w:val="000000" w:themeColor="text1"/>
        </w:rPr>
        <w:t xml:space="preserve">. Such </w:t>
      </w:r>
      <w:r w:rsidR="007A6D80" w:rsidRPr="00B52FCB">
        <w:rPr>
          <w:rFonts w:ascii="Times New Roman" w:hAnsi="Times New Roman" w:cs="Times New Roman"/>
          <w:i/>
          <w:color w:val="000000" w:themeColor="text1"/>
        </w:rPr>
        <w:t xml:space="preserve">alignment </w:t>
      </w:r>
      <w:r w:rsidR="007D2488" w:rsidRPr="00B52FCB">
        <w:rPr>
          <w:rFonts w:ascii="Times New Roman" w:hAnsi="Times New Roman" w:cs="Times New Roman"/>
          <w:i/>
          <w:color w:val="000000" w:themeColor="text1"/>
        </w:rPr>
        <w:t xml:space="preserve">should be </w:t>
      </w:r>
      <w:r w:rsidR="007A6D80" w:rsidRPr="00B52FCB">
        <w:rPr>
          <w:rFonts w:ascii="Times New Roman" w:hAnsi="Times New Roman" w:cs="Times New Roman"/>
          <w:i/>
          <w:color w:val="000000" w:themeColor="text1"/>
        </w:rPr>
        <w:t>subject to</w:t>
      </w:r>
      <w:r w:rsidR="007D2488" w:rsidRPr="00B52FCB">
        <w:rPr>
          <w:rFonts w:ascii="Times New Roman" w:hAnsi="Times New Roman" w:cs="Times New Roman"/>
          <w:i/>
          <w:color w:val="000000" w:themeColor="text1"/>
        </w:rPr>
        <w:t xml:space="preserve"> fair channel access. </w:t>
      </w:r>
    </w:p>
    <w:p w14:paraId="596E93DF" w14:textId="4893F5BD" w:rsidR="00821C42" w:rsidRPr="00B52FCB" w:rsidRDefault="00BF17FD" w:rsidP="006232BE">
      <w:pPr>
        <w:pStyle w:val="Heading1"/>
        <w:pBdr>
          <w:top w:val="single" w:sz="12" w:space="5" w:color="auto"/>
        </w:pBdr>
        <w:spacing w:after="120"/>
        <w:jc w:val="both"/>
        <w:rPr>
          <w:rFonts w:ascii="Times New Roman" w:hAnsi="Times New Roman"/>
          <w:b/>
          <w:sz w:val="32"/>
          <w:lang w:val="en-US"/>
        </w:rPr>
      </w:pPr>
      <w:r w:rsidRPr="00B52FCB">
        <w:rPr>
          <w:rFonts w:ascii="Times New Roman" w:hAnsi="Times New Roman"/>
          <w:b/>
          <w:sz w:val="32"/>
          <w:lang w:val="en-US"/>
        </w:rPr>
        <w:t>Summary</w:t>
      </w:r>
    </w:p>
    <w:p w14:paraId="0E6E59C8" w14:textId="22B3C368" w:rsidR="00685F6F" w:rsidRPr="00B52FCB" w:rsidRDefault="003242DD" w:rsidP="006232BE">
      <w:pPr>
        <w:jc w:val="both"/>
        <w:rPr>
          <w:rFonts w:ascii="Times New Roman" w:hAnsi="Times New Roman" w:cs="Times New Roman"/>
        </w:rPr>
      </w:pPr>
      <w:r w:rsidRPr="00B52FCB">
        <w:rPr>
          <w:rFonts w:ascii="Times New Roman" w:hAnsi="Times New Roman" w:cs="Times New Roman"/>
        </w:rPr>
        <w:t>This contribution discussed</w:t>
      </w:r>
      <w:r w:rsidR="0080034A" w:rsidRPr="00B52FCB">
        <w:rPr>
          <w:rFonts w:ascii="Times New Roman" w:hAnsi="Times New Roman" w:cs="Times New Roman"/>
        </w:rPr>
        <w:t xml:space="preserve"> some details regarding the NR-Unlicensed frame structure. In the following, above-discussed proposals are listed:  </w:t>
      </w:r>
      <w:r w:rsidR="00220819" w:rsidRPr="00B52FCB">
        <w:rPr>
          <w:rFonts w:ascii="Times New Roman" w:hAnsi="Times New Roman" w:cs="Times New Roman"/>
        </w:rPr>
        <w:t xml:space="preserve"> </w:t>
      </w:r>
    </w:p>
    <w:p w14:paraId="4C93840C" w14:textId="25810EE3" w:rsidR="008E652C" w:rsidRPr="00B52FCB" w:rsidRDefault="008E652C" w:rsidP="006C6C98">
      <w:pPr>
        <w:spacing w:after="80"/>
        <w:jc w:val="both"/>
        <w:rPr>
          <w:rFonts w:ascii="Times New Roman" w:hAnsi="Times New Roman" w:cs="Times New Roman"/>
          <w:i/>
          <w:lang w:eastAsia="sv-SE"/>
        </w:rPr>
      </w:pPr>
      <w:r w:rsidRPr="00B52FCB">
        <w:rPr>
          <w:rFonts w:ascii="Times New Roman" w:hAnsi="Times New Roman" w:cs="Times New Roman"/>
          <w:b/>
          <w:i/>
          <w:u w:val="single"/>
          <w:lang w:eastAsia="sv-SE"/>
        </w:rPr>
        <w:t>Proposal 1:</w:t>
      </w:r>
      <w:r w:rsidRPr="00B52FCB">
        <w:rPr>
          <w:rFonts w:ascii="Times New Roman" w:hAnsi="Times New Roman" w:cs="Times New Roman"/>
          <w:b/>
          <w:i/>
          <w:lang w:eastAsia="sv-SE"/>
        </w:rPr>
        <w:t xml:space="preserve"> </w:t>
      </w:r>
      <w:r w:rsidRPr="00B52FCB">
        <w:rPr>
          <w:rFonts w:ascii="Times New Roman" w:hAnsi="Times New Roman" w:cs="Times New Roman"/>
          <w:i/>
          <w:lang w:eastAsia="sv-SE"/>
        </w:rPr>
        <w:t xml:space="preserve">NR-U </w:t>
      </w:r>
      <w:r w:rsidR="00172612" w:rsidRPr="00B52FCB">
        <w:rPr>
          <w:rFonts w:ascii="Times New Roman" w:hAnsi="Times New Roman" w:cs="Times New Roman"/>
          <w:i/>
          <w:lang w:eastAsia="sv-SE"/>
        </w:rPr>
        <w:t xml:space="preserve">should </w:t>
      </w:r>
      <w:r w:rsidRPr="00B52FCB">
        <w:rPr>
          <w:rFonts w:ascii="Times New Roman" w:hAnsi="Times New Roman" w:cs="Times New Roman"/>
          <w:i/>
          <w:lang w:eastAsia="sv-SE"/>
        </w:rPr>
        <w:t xml:space="preserve">provide </w:t>
      </w:r>
      <w:r w:rsidR="008879BA" w:rsidRPr="00B52FCB">
        <w:rPr>
          <w:rFonts w:ascii="Times New Roman" w:hAnsi="Times New Roman" w:cs="Times New Roman"/>
          <w:i/>
          <w:lang w:eastAsia="sv-SE"/>
        </w:rPr>
        <w:t>mechanisms</w:t>
      </w:r>
      <w:r w:rsidRPr="00B52FCB">
        <w:rPr>
          <w:rFonts w:ascii="Times New Roman" w:hAnsi="Times New Roman" w:cs="Times New Roman"/>
          <w:i/>
          <w:lang w:eastAsia="sv-SE"/>
        </w:rPr>
        <w:t xml:space="preserve"> that enables UEs to efficiently detect a slot </w:t>
      </w:r>
      <w:r w:rsidR="00EF43BC" w:rsidRPr="00B52FCB">
        <w:rPr>
          <w:rFonts w:ascii="Times New Roman" w:hAnsi="Times New Roman" w:cs="Times New Roman"/>
          <w:i/>
          <w:lang w:eastAsia="sv-SE"/>
        </w:rPr>
        <w:t>and</w:t>
      </w:r>
      <w:r w:rsidRPr="00B52FCB">
        <w:rPr>
          <w:rFonts w:ascii="Times New Roman" w:hAnsi="Times New Roman" w:cs="Times New Roman"/>
          <w:i/>
          <w:lang w:eastAsia="sv-SE"/>
        </w:rPr>
        <w:t xml:space="preserve"> mini-slot at the </w:t>
      </w:r>
      <w:r w:rsidR="008879BA" w:rsidRPr="00B52FCB">
        <w:rPr>
          <w:rFonts w:ascii="Times New Roman" w:hAnsi="Times New Roman" w:cs="Times New Roman"/>
          <w:i/>
          <w:lang w:eastAsia="sv-SE"/>
        </w:rPr>
        <w:t>beginning</w:t>
      </w:r>
      <w:r w:rsidRPr="00B52FCB">
        <w:rPr>
          <w:rFonts w:ascii="Times New Roman" w:hAnsi="Times New Roman" w:cs="Times New Roman"/>
          <w:i/>
          <w:lang w:eastAsia="sv-SE"/>
        </w:rPr>
        <w:t xml:space="preserve"> of a gNB-initiated COT.  </w:t>
      </w:r>
    </w:p>
    <w:p w14:paraId="613446BB" w14:textId="20ECD51A" w:rsidR="00172612" w:rsidRPr="00B52FCB" w:rsidRDefault="00172612" w:rsidP="006C6C98">
      <w:pPr>
        <w:spacing w:after="80"/>
        <w:jc w:val="both"/>
        <w:rPr>
          <w:rFonts w:ascii="Times New Roman" w:hAnsi="Times New Roman" w:cs="Times New Roman"/>
          <w:i/>
          <w:lang w:eastAsia="sv-SE"/>
        </w:rPr>
      </w:pPr>
      <w:r w:rsidRPr="00B52FCB">
        <w:rPr>
          <w:rFonts w:ascii="Times New Roman" w:hAnsi="Times New Roman" w:cs="Times New Roman"/>
          <w:b/>
          <w:i/>
          <w:u w:val="single"/>
          <w:lang w:eastAsia="sv-SE"/>
        </w:rPr>
        <w:t xml:space="preserve">Proposal </w:t>
      </w:r>
      <w:r w:rsidR="00A57E8F" w:rsidRPr="00B52FCB"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B52FCB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B52FCB">
        <w:rPr>
          <w:rFonts w:ascii="Times New Roman" w:hAnsi="Times New Roman" w:cs="Times New Roman"/>
          <w:b/>
          <w:i/>
          <w:lang w:eastAsia="sv-SE"/>
        </w:rPr>
        <w:t xml:space="preserve"> </w:t>
      </w:r>
      <w:r w:rsidRPr="00B52FCB">
        <w:rPr>
          <w:rFonts w:ascii="Times New Roman" w:hAnsi="Times New Roman" w:cs="Times New Roman"/>
          <w:i/>
          <w:lang w:eastAsia="sv-SE"/>
        </w:rPr>
        <w:t xml:space="preserve">NR-U should consider introducing a network-assisted initial signal to minimize the UE power consumption for PDCCH </w:t>
      </w:r>
      <w:r w:rsidR="008879BA" w:rsidRPr="00B52FCB">
        <w:rPr>
          <w:rFonts w:ascii="Times New Roman" w:hAnsi="Times New Roman" w:cs="Times New Roman"/>
          <w:i/>
          <w:lang w:eastAsia="sv-SE"/>
        </w:rPr>
        <w:t>monitoring</w:t>
      </w:r>
      <w:r w:rsidRPr="00B52FCB">
        <w:rPr>
          <w:rFonts w:ascii="Times New Roman" w:hAnsi="Times New Roman" w:cs="Times New Roman"/>
          <w:i/>
          <w:lang w:eastAsia="sv-SE"/>
        </w:rPr>
        <w:t>.</w:t>
      </w:r>
    </w:p>
    <w:p w14:paraId="3687E20A" w14:textId="35F57D0C" w:rsidR="00E82DCF" w:rsidRPr="00B52FCB" w:rsidRDefault="00E82DCF" w:rsidP="006C6C98">
      <w:pPr>
        <w:spacing w:after="80"/>
        <w:jc w:val="both"/>
        <w:rPr>
          <w:rFonts w:ascii="Times New Roman" w:hAnsi="Times New Roman" w:cs="Times New Roman"/>
          <w:i/>
        </w:rPr>
      </w:pPr>
      <w:r w:rsidRPr="00B52FCB">
        <w:rPr>
          <w:rFonts w:ascii="Times New Roman" w:hAnsi="Times New Roman" w:cs="Times New Roman"/>
          <w:b/>
          <w:i/>
          <w:u w:val="single"/>
          <w:lang w:eastAsia="sv-SE"/>
        </w:rPr>
        <w:t>Proposal 3:</w:t>
      </w:r>
      <w:r w:rsidRPr="00B52FCB">
        <w:rPr>
          <w:rFonts w:ascii="Times New Roman" w:hAnsi="Times New Roman" w:cs="Times New Roman"/>
          <w:i/>
          <w:lang w:eastAsia="sv-SE"/>
        </w:rPr>
        <w:t xml:space="preserve"> The </w:t>
      </w:r>
      <w:r w:rsidRPr="00B52FCB">
        <w:rPr>
          <w:rFonts w:ascii="Times New Roman" w:hAnsi="Times New Roman" w:cs="Times New Roman"/>
          <w:i/>
        </w:rPr>
        <w:t xml:space="preserve">COT format indicator may indicate the following: the entire and/or remaining duration of the COT, expected DL/UL and UL/DL switching points, indications on LBT categories to be performed by UE </w:t>
      </w:r>
      <w:r w:rsidR="00B52FCB" w:rsidRPr="00B52FCB">
        <w:rPr>
          <w:rFonts w:ascii="Times New Roman" w:hAnsi="Times New Roman" w:cs="Times New Roman"/>
          <w:i/>
        </w:rPr>
        <w:t>after a DL/UL swiching point.</w:t>
      </w:r>
    </w:p>
    <w:p w14:paraId="096CC751" w14:textId="7992E01A" w:rsidR="0061520B" w:rsidRPr="00B52FCB" w:rsidRDefault="0061520B" w:rsidP="006C6C98">
      <w:pPr>
        <w:spacing w:after="80"/>
        <w:jc w:val="both"/>
        <w:rPr>
          <w:rFonts w:ascii="Times New Roman" w:hAnsi="Times New Roman" w:cs="Times New Roman"/>
          <w:i/>
          <w:lang w:val="en-GB"/>
        </w:rPr>
      </w:pPr>
      <w:r w:rsidRPr="00B52FCB">
        <w:rPr>
          <w:rFonts w:ascii="Times New Roman" w:hAnsi="Times New Roman" w:cs="Times New Roman"/>
          <w:b/>
          <w:i/>
          <w:u w:val="single"/>
          <w:lang w:val="en-GB"/>
        </w:rPr>
        <w:t>Proposal 4:</w:t>
      </w:r>
      <w:r w:rsidRPr="00B52FCB">
        <w:rPr>
          <w:rFonts w:ascii="Times New Roman" w:hAnsi="Times New Roman" w:cs="Times New Roman"/>
          <w:i/>
          <w:lang w:val="en-GB"/>
        </w:rPr>
        <w:t xml:space="preserve"> For NR-U operation, SCS=60kHz should be down prioritize</w:t>
      </w:r>
      <w:r w:rsidR="007D2488" w:rsidRPr="00B52FCB">
        <w:rPr>
          <w:rFonts w:ascii="Times New Roman" w:hAnsi="Times New Roman" w:cs="Times New Roman"/>
          <w:i/>
          <w:lang w:val="en-GB"/>
        </w:rPr>
        <w:t>d</w:t>
      </w:r>
      <w:r w:rsidRPr="00B52FCB">
        <w:rPr>
          <w:rFonts w:ascii="Times New Roman" w:hAnsi="Times New Roman" w:cs="Times New Roman"/>
          <w:i/>
          <w:lang w:val="en-GB"/>
        </w:rPr>
        <w:t xml:space="preserve">. </w:t>
      </w:r>
    </w:p>
    <w:p w14:paraId="7D3B89D3" w14:textId="77777777" w:rsidR="007A6D80" w:rsidRPr="00B52FCB" w:rsidRDefault="007A6D80" w:rsidP="006C6C98">
      <w:pPr>
        <w:spacing w:after="80"/>
        <w:jc w:val="both"/>
        <w:rPr>
          <w:rFonts w:ascii="Times New Roman" w:hAnsi="Times New Roman" w:cs="Times New Roman"/>
          <w:i/>
          <w:color w:val="000000" w:themeColor="text1"/>
        </w:rPr>
      </w:pPr>
      <w:r w:rsidRPr="00B52FCB">
        <w:rPr>
          <w:rFonts w:ascii="Times New Roman" w:hAnsi="Times New Roman" w:cs="Times New Roman"/>
          <w:b/>
          <w:i/>
          <w:color w:val="000000" w:themeColor="text1"/>
          <w:u w:val="single"/>
        </w:rPr>
        <w:t>Proposal 5:</w:t>
      </w:r>
      <w:r w:rsidRPr="00B52FCB">
        <w:rPr>
          <w:rFonts w:ascii="Times New Roman" w:hAnsi="Times New Roman" w:cs="Times New Roman"/>
          <w:i/>
          <w:color w:val="000000" w:themeColor="text1"/>
        </w:rPr>
        <w:t xml:space="preserve"> NR should study the benefits of listen interval alignment (for LBT Cat-3 and Cat-4) to OFDM symbol boundary. Such alignment should be subject to fair channel access. </w:t>
      </w:r>
    </w:p>
    <w:p w14:paraId="0EF7466D" w14:textId="77777777" w:rsidR="00251B4A" w:rsidRPr="003E7AEB" w:rsidRDefault="00251B4A" w:rsidP="006232BE">
      <w:pPr>
        <w:pStyle w:val="Heading1"/>
        <w:jc w:val="both"/>
        <w:rPr>
          <w:rFonts w:ascii="Times New Roman" w:hAnsi="Times New Roman"/>
          <w:b/>
          <w:sz w:val="32"/>
          <w:lang w:val="en-US"/>
        </w:rPr>
      </w:pPr>
      <w:r w:rsidRPr="003E7AEB">
        <w:rPr>
          <w:rFonts w:ascii="Times New Roman" w:hAnsi="Times New Roman"/>
          <w:b/>
          <w:sz w:val="32"/>
          <w:lang w:val="en-US"/>
        </w:rPr>
        <w:t>References</w:t>
      </w:r>
    </w:p>
    <w:p w14:paraId="5981B74D" w14:textId="7BBAB7D6" w:rsidR="00277862" w:rsidRDefault="00277862" w:rsidP="006C6C98">
      <w:pPr>
        <w:pStyle w:val="Reference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5" w:name="_Ref513201801"/>
      <w:bookmarkStart w:id="6" w:name="_Ref174151459"/>
      <w:bookmarkStart w:id="7" w:name="_Ref189809556"/>
      <w:r w:rsidRPr="00277862">
        <w:rPr>
          <w:rFonts w:ascii="Times New Roman" w:hAnsi="Times New Roman" w:cs="Times New Roman"/>
        </w:rPr>
        <w:t>Chairman’s notes, 3GPP TSG RAN WG1#9</w:t>
      </w:r>
      <w:r w:rsidR="00A86A4B">
        <w:rPr>
          <w:rFonts w:ascii="Times New Roman" w:hAnsi="Times New Roman" w:cs="Times New Roman"/>
        </w:rPr>
        <w:t>4</w:t>
      </w:r>
      <w:r w:rsidRPr="00277862">
        <w:rPr>
          <w:rFonts w:ascii="Times New Roman" w:hAnsi="Times New Roman" w:cs="Times New Roman"/>
        </w:rPr>
        <w:t xml:space="preserve">, </w:t>
      </w:r>
      <w:bookmarkEnd w:id="5"/>
      <w:bookmarkEnd w:id="6"/>
      <w:bookmarkEnd w:id="7"/>
      <w:r w:rsidR="00A86A4B" w:rsidRPr="00A86A4B">
        <w:rPr>
          <w:rFonts w:ascii="Times New Roman" w:hAnsi="Times New Roman" w:cs="Times New Roman"/>
        </w:rPr>
        <w:t>Gothenburg, Sweden</w:t>
      </w:r>
      <w:r w:rsidRPr="00277862">
        <w:rPr>
          <w:rFonts w:ascii="Times New Roman" w:hAnsi="Times New Roman" w:cs="Times New Roman"/>
        </w:rPr>
        <w:t xml:space="preserve">, </w:t>
      </w:r>
      <w:r w:rsidR="00A86A4B">
        <w:rPr>
          <w:rFonts w:ascii="Times New Roman" w:hAnsi="Times New Roman" w:cs="Times New Roman"/>
        </w:rPr>
        <w:t>Aug 20</w:t>
      </w:r>
      <w:r w:rsidRPr="00277862">
        <w:rPr>
          <w:rFonts w:ascii="Times New Roman" w:hAnsi="Times New Roman" w:cs="Times New Roman"/>
        </w:rPr>
        <w:t xml:space="preserve"> – 2</w:t>
      </w:r>
      <w:r w:rsidR="00A86A4B">
        <w:rPr>
          <w:rFonts w:ascii="Times New Roman" w:hAnsi="Times New Roman" w:cs="Times New Roman"/>
        </w:rPr>
        <w:t>4</w:t>
      </w:r>
      <w:r w:rsidR="000C18E2">
        <w:rPr>
          <w:rFonts w:ascii="Times New Roman" w:hAnsi="Times New Roman" w:cs="Times New Roman"/>
        </w:rPr>
        <w:t>,</w:t>
      </w:r>
      <w:r w:rsidRPr="00277862">
        <w:rPr>
          <w:rFonts w:ascii="Times New Roman" w:hAnsi="Times New Roman" w:cs="Times New Roman"/>
        </w:rPr>
        <w:t xml:space="preserve"> 2018</w:t>
      </w:r>
    </w:p>
    <w:p w14:paraId="452B970F" w14:textId="783C6246" w:rsidR="005E308E" w:rsidRPr="00277862" w:rsidRDefault="005E308E" w:rsidP="006C6C98">
      <w:pPr>
        <w:pStyle w:val="Reference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77862">
        <w:rPr>
          <w:rFonts w:ascii="Times New Roman" w:hAnsi="Times New Roman" w:cs="Times New Roman"/>
        </w:rPr>
        <w:t>Chairman’s notes, 3GPP TSG RAN WG1#9</w:t>
      </w:r>
      <w:r>
        <w:rPr>
          <w:rFonts w:ascii="Times New Roman" w:hAnsi="Times New Roman" w:cs="Times New Roman"/>
        </w:rPr>
        <w:t>4b</w:t>
      </w:r>
      <w:r w:rsidRPr="0027786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Chengdu</w:t>
      </w:r>
      <w:r w:rsidRPr="00A86A4B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China</w:t>
      </w:r>
      <w:r w:rsidRPr="0027786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Oct 8</w:t>
      </w:r>
      <w:r w:rsidRPr="00277862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1</w:t>
      </w:r>
      <w:r w:rsidRPr="0027786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277862">
        <w:rPr>
          <w:rFonts w:ascii="Times New Roman" w:hAnsi="Times New Roman" w:cs="Times New Roman"/>
        </w:rPr>
        <w:t xml:space="preserve"> 2018</w:t>
      </w:r>
    </w:p>
    <w:p w14:paraId="4C7B8C70" w14:textId="77777777" w:rsidR="00277862" w:rsidRPr="00277862" w:rsidRDefault="00DB5440" w:rsidP="006C6C98">
      <w:pPr>
        <w:pStyle w:val="Reference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277862">
        <w:rPr>
          <w:rFonts w:ascii="Times New Roman" w:hAnsi="Times New Roman" w:cs="Times New Roman"/>
        </w:rPr>
        <w:t>3GPP</w:t>
      </w:r>
      <w:r w:rsidR="00651AF8" w:rsidRPr="00277862">
        <w:rPr>
          <w:rFonts w:ascii="Times New Roman" w:hAnsi="Times New Roman" w:cs="Times New Roman"/>
        </w:rPr>
        <w:t xml:space="preserve">, TS 38.101-1, </w:t>
      </w:r>
      <w:r w:rsidRPr="00277862">
        <w:rPr>
          <w:rFonts w:ascii="Times New Roman" w:hAnsi="Times New Roman" w:cs="Times New Roman"/>
        </w:rPr>
        <w:t xml:space="preserve">UE </w:t>
      </w:r>
      <w:r w:rsidR="00651AF8" w:rsidRPr="00277862">
        <w:rPr>
          <w:rFonts w:ascii="Times New Roman" w:hAnsi="Times New Roman" w:cs="Times New Roman"/>
        </w:rPr>
        <w:t>Radio Transmission and Reception</w:t>
      </w:r>
    </w:p>
    <w:sectPr w:rsidR="00277862" w:rsidRPr="00277862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50A6A" w14:textId="77777777" w:rsidR="00A62553" w:rsidRDefault="00A62553">
      <w:r>
        <w:separator/>
      </w:r>
    </w:p>
  </w:endnote>
  <w:endnote w:type="continuationSeparator" w:id="0">
    <w:p w14:paraId="363E8D1E" w14:textId="77777777" w:rsidR="00A62553" w:rsidRDefault="00A62553">
      <w:r>
        <w:continuationSeparator/>
      </w:r>
    </w:p>
  </w:endnote>
  <w:endnote w:type="continuationNotice" w:id="1">
    <w:p w14:paraId="7A10DD91" w14:textId="77777777" w:rsidR="00A62553" w:rsidRDefault="00A625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986B9" w14:textId="77777777" w:rsidR="00A62553" w:rsidRDefault="00A62553">
      <w:r>
        <w:separator/>
      </w:r>
    </w:p>
  </w:footnote>
  <w:footnote w:type="continuationSeparator" w:id="0">
    <w:p w14:paraId="17B35B2A" w14:textId="77777777" w:rsidR="00A62553" w:rsidRDefault="00A62553">
      <w:r>
        <w:continuationSeparator/>
      </w:r>
    </w:p>
  </w:footnote>
  <w:footnote w:type="continuationNotice" w:id="1">
    <w:p w14:paraId="2E547081" w14:textId="77777777" w:rsidR="00A62553" w:rsidRDefault="00A625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0548A"/>
    <w:multiLevelType w:val="hybridMultilevel"/>
    <w:tmpl w:val="59E88472"/>
    <w:lvl w:ilvl="0" w:tplc="5F90B668">
      <w:start w:val="7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33492"/>
    <w:multiLevelType w:val="hybridMultilevel"/>
    <w:tmpl w:val="E7F4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F4FB5"/>
    <w:multiLevelType w:val="hybridMultilevel"/>
    <w:tmpl w:val="65E0A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647A18A6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7D63D12"/>
    <w:multiLevelType w:val="hybridMultilevel"/>
    <w:tmpl w:val="A1A26A4C"/>
    <w:lvl w:ilvl="0" w:tplc="EC04DE1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446A5E79"/>
    <w:multiLevelType w:val="hybridMultilevel"/>
    <w:tmpl w:val="5D74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B1177"/>
    <w:multiLevelType w:val="hybridMultilevel"/>
    <w:tmpl w:val="C738381A"/>
    <w:lvl w:ilvl="0" w:tplc="41EE952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B45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54B7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02BA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BB83D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B656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5C7B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30"/>
  </w:num>
  <w:num w:numId="10">
    <w:abstractNumId w:val="5"/>
  </w:num>
  <w:num w:numId="11">
    <w:abstractNumId w:val="2"/>
  </w:num>
  <w:num w:numId="12">
    <w:abstractNumId w:val="21"/>
  </w:num>
  <w:num w:numId="13">
    <w:abstractNumId w:val="28"/>
  </w:num>
  <w:num w:numId="14">
    <w:abstractNumId w:val="4"/>
  </w:num>
  <w:num w:numId="15">
    <w:abstractNumId w:val="0"/>
  </w:num>
  <w:num w:numId="16">
    <w:abstractNumId w:val="24"/>
  </w:num>
  <w:num w:numId="17">
    <w:abstractNumId w:val="8"/>
  </w:num>
  <w:num w:numId="18">
    <w:abstractNumId w:val="3"/>
  </w:num>
  <w:num w:numId="19">
    <w:abstractNumId w:val="19"/>
  </w:num>
  <w:num w:numId="20">
    <w:abstractNumId w:val="29"/>
  </w:num>
  <w:num w:numId="21">
    <w:abstractNumId w:val="14"/>
  </w:num>
  <w:num w:numId="22">
    <w:abstractNumId w:val="10"/>
  </w:num>
  <w:num w:numId="23">
    <w:abstractNumId w:val="17"/>
  </w:num>
  <w:num w:numId="24">
    <w:abstractNumId w:val="26"/>
  </w:num>
  <w:num w:numId="25">
    <w:abstractNumId w:val="13"/>
  </w:num>
  <w:num w:numId="26">
    <w:abstractNumId w:val="20"/>
  </w:num>
  <w:num w:numId="27">
    <w:abstractNumId w:val="6"/>
  </w:num>
  <w:num w:numId="28">
    <w:abstractNumId w:val="1"/>
  </w:num>
  <w:num w:numId="29">
    <w:abstractNumId w:val="27"/>
  </w:num>
  <w:num w:numId="30">
    <w:abstractNumId w:val="7"/>
  </w:num>
  <w:num w:numId="31">
    <w:abstractNumId w:val="25"/>
  </w:num>
  <w:num w:numId="3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4768"/>
    <w:rsid w:val="000153E9"/>
    <w:rsid w:val="00015D15"/>
    <w:rsid w:val="0001611C"/>
    <w:rsid w:val="0001694D"/>
    <w:rsid w:val="000208E4"/>
    <w:rsid w:val="00020F4F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0E95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B3B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7050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57C"/>
    <w:rsid w:val="00083BE4"/>
    <w:rsid w:val="00085543"/>
    <w:rsid w:val="000855EB"/>
    <w:rsid w:val="00085A01"/>
    <w:rsid w:val="00085B52"/>
    <w:rsid w:val="00085E11"/>
    <w:rsid w:val="000862B6"/>
    <w:rsid w:val="000866F2"/>
    <w:rsid w:val="000868EC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2B6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8E2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38D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A47"/>
    <w:rsid w:val="000F0EB1"/>
    <w:rsid w:val="000F1106"/>
    <w:rsid w:val="000F1141"/>
    <w:rsid w:val="000F184F"/>
    <w:rsid w:val="000F1854"/>
    <w:rsid w:val="000F1AE1"/>
    <w:rsid w:val="000F25E9"/>
    <w:rsid w:val="000F3BE9"/>
    <w:rsid w:val="000F3F6C"/>
    <w:rsid w:val="000F4ED8"/>
    <w:rsid w:val="000F4F9E"/>
    <w:rsid w:val="000F5397"/>
    <w:rsid w:val="000F557E"/>
    <w:rsid w:val="000F5AB7"/>
    <w:rsid w:val="000F5D31"/>
    <w:rsid w:val="000F6202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0F8F"/>
    <w:rsid w:val="00111A99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4A4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A52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68D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2612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BC4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22DF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E82"/>
    <w:rsid w:val="001D43D0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4A5B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1DD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17C06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0E8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1ECA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83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224"/>
    <w:rsid w:val="00276081"/>
    <w:rsid w:val="00276B67"/>
    <w:rsid w:val="00277097"/>
    <w:rsid w:val="00277490"/>
    <w:rsid w:val="00277862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1CED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8B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0A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20C"/>
    <w:rsid w:val="002E7CAE"/>
    <w:rsid w:val="002E7F8F"/>
    <w:rsid w:val="002F0480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2E7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9A9"/>
    <w:rsid w:val="00367B02"/>
    <w:rsid w:val="00370C16"/>
    <w:rsid w:val="00370E47"/>
    <w:rsid w:val="00371062"/>
    <w:rsid w:val="003721E1"/>
    <w:rsid w:val="00372AAF"/>
    <w:rsid w:val="00373969"/>
    <w:rsid w:val="003742AC"/>
    <w:rsid w:val="003744CE"/>
    <w:rsid w:val="00374F8B"/>
    <w:rsid w:val="00375719"/>
    <w:rsid w:val="00375D85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2B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A16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186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E7AEB"/>
    <w:rsid w:val="003F05C7"/>
    <w:rsid w:val="003F16F6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37EC6"/>
    <w:rsid w:val="00440C67"/>
    <w:rsid w:val="00440F6B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8DA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1FD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CEB"/>
    <w:rsid w:val="00481DE7"/>
    <w:rsid w:val="00481FB4"/>
    <w:rsid w:val="0048266F"/>
    <w:rsid w:val="00482695"/>
    <w:rsid w:val="004827AF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C42"/>
    <w:rsid w:val="004A4A51"/>
    <w:rsid w:val="004A5256"/>
    <w:rsid w:val="004A574C"/>
    <w:rsid w:val="004A614C"/>
    <w:rsid w:val="004A7D0F"/>
    <w:rsid w:val="004B04C1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CA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302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7D4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2A0A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84B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4E57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0E"/>
    <w:rsid w:val="005D32AE"/>
    <w:rsid w:val="005D4AB0"/>
    <w:rsid w:val="005D53C3"/>
    <w:rsid w:val="005D56F1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08E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20B"/>
    <w:rsid w:val="00615318"/>
    <w:rsid w:val="00616D03"/>
    <w:rsid w:val="00620B97"/>
    <w:rsid w:val="00621662"/>
    <w:rsid w:val="00621751"/>
    <w:rsid w:val="0062281D"/>
    <w:rsid w:val="00623058"/>
    <w:rsid w:val="006232BE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2A"/>
    <w:rsid w:val="00650EA2"/>
    <w:rsid w:val="0065127D"/>
    <w:rsid w:val="00651AF8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522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BD5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6C98"/>
    <w:rsid w:val="006C7522"/>
    <w:rsid w:val="006D0841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395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37E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B85"/>
    <w:rsid w:val="007118CA"/>
    <w:rsid w:val="00711D31"/>
    <w:rsid w:val="00712287"/>
    <w:rsid w:val="00712772"/>
    <w:rsid w:val="0071334D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E85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45A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1B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38C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D80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6D3F"/>
    <w:rsid w:val="007C75A1"/>
    <w:rsid w:val="007C77A5"/>
    <w:rsid w:val="007D0217"/>
    <w:rsid w:val="007D04E5"/>
    <w:rsid w:val="007D08CC"/>
    <w:rsid w:val="007D1E22"/>
    <w:rsid w:val="007D2488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1352"/>
    <w:rsid w:val="007E252D"/>
    <w:rsid w:val="007E2FA0"/>
    <w:rsid w:val="007E3BB3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11D"/>
    <w:rsid w:val="007F4904"/>
    <w:rsid w:val="007F5988"/>
    <w:rsid w:val="007F7F41"/>
    <w:rsid w:val="0080009E"/>
    <w:rsid w:val="0080034A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921"/>
    <w:rsid w:val="00814AD5"/>
    <w:rsid w:val="00814F7B"/>
    <w:rsid w:val="0081510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012"/>
    <w:rsid w:val="008376AC"/>
    <w:rsid w:val="0083778B"/>
    <w:rsid w:val="00840F75"/>
    <w:rsid w:val="00841446"/>
    <w:rsid w:val="00841916"/>
    <w:rsid w:val="008427B2"/>
    <w:rsid w:val="00842A83"/>
    <w:rsid w:val="00842B22"/>
    <w:rsid w:val="0084356E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6B3"/>
    <w:rsid w:val="008719A4"/>
    <w:rsid w:val="00871D23"/>
    <w:rsid w:val="00871D26"/>
    <w:rsid w:val="00871FBC"/>
    <w:rsid w:val="00872DD4"/>
    <w:rsid w:val="00872DF0"/>
    <w:rsid w:val="00872E99"/>
    <w:rsid w:val="008734A8"/>
    <w:rsid w:val="008735D7"/>
    <w:rsid w:val="00873602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6D61"/>
    <w:rsid w:val="00877943"/>
    <w:rsid w:val="00877F18"/>
    <w:rsid w:val="00880FCF"/>
    <w:rsid w:val="00881595"/>
    <w:rsid w:val="00881CDD"/>
    <w:rsid w:val="00882349"/>
    <w:rsid w:val="008828B2"/>
    <w:rsid w:val="00883005"/>
    <w:rsid w:val="008844C2"/>
    <w:rsid w:val="008846AC"/>
    <w:rsid w:val="008848F9"/>
    <w:rsid w:val="008862CE"/>
    <w:rsid w:val="00886D00"/>
    <w:rsid w:val="00886D44"/>
    <w:rsid w:val="00886F61"/>
    <w:rsid w:val="008879BA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A7D2D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52C"/>
    <w:rsid w:val="008E6D79"/>
    <w:rsid w:val="008E6E06"/>
    <w:rsid w:val="008E6E68"/>
    <w:rsid w:val="008E715E"/>
    <w:rsid w:val="008E75BD"/>
    <w:rsid w:val="008E781E"/>
    <w:rsid w:val="008E7821"/>
    <w:rsid w:val="008E7ABB"/>
    <w:rsid w:val="008E7B8F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D2A"/>
    <w:rsid w:val="00906431"/>
    <w:rsid w:val="00906481"/>
    <w:rsid w:val="00906939"/>
    <w:rsid w:val="00906A8B"/>
    <w:rsid w:val="00906C12"/>
    <w:rsid w:val="00907F4E"/>
    <w:rsid w:val="00910390"/>
    <w:rsid w:val="00910B7D"/>
    <w:rsid w:val="00910EAF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5CD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A1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7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38A3"/>
    <w:rsid w:val="009A4085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0D1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46A"/>
    <w:rsid w:val="009E6AD5"/>
    <w:rsid w:val="009E7CEA"/>
    <w:rsid w:val="009F0370"/>
    <w:rsid w:val="009F08F3"/>
    <w:rsid w:val="009F09EF"/>
    <w:rsid w:val="009F0A74"/>
    <w:rsid w:val="009F1A8F"/>
    <w:rsid w:val="009F2089"/>
    <w:rsid w:val="009F21E0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734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27E6E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4B0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57E8F"/>
    <w:rsid w:val="00A601E5"/>
    <w:rsid w:val="00A60DBF"/>
    <w:rsid w:val="00A6126F"/>
    <w:rsid w:val="00A61499"/>
    <w:rsid w:val="00A62553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7E9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6A4B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753"/>
    <w:rsid w:val="00AB3B29"/>
    <w:rsid w:val="00AB4AB8"/>
    <w:rsid w:val="00AB4BAA"/>
    <w:rsid w:val="00AB5469"/>
    <w:rsid w:val="00AB5A82"/>
    <w:rsid w:val="00AB655E"/>
    <w:rsid w:val="00AB693B"/>
    <w:rsid w:val="00AB6EAE"/>
    <w:rsid w:val="00AB7DA2"/>
    <w:rsid w:val="00AC007F"/>
    <w:rsid w:val="00AC158C"/>
    <w:rsid w:val="00AC1AB7"/>
    <w:rsid w:val="00AC1D55"/>
    <w:rsid w:val="00AC2314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04B"/>
    <w:rsid w:val="00B15781"/>
    <w:rsid w:val="00B157F9"/>
    <w:rsid w:val="00B159ED"/>
    <w:rsid w:val="00B168FB"/>
    <w:rsid w:val="00B169C0"/>
    <w:rsid w:val="00B1781D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3DBD"/>
    <w:rsid w:val="00B2409E"/>
    <w:rsid w:val="00B24598"/>
    <w:rsid w:val="00B24D34"/>
    <w:rsid w:val="00B25A7A"/>
    <w:rsid w:val="00B25C41"/>
    <w:rsid w:val="00B263DB"/>
    <w:rsid w:val="00B26C1E"/>
    <w:rsid w:val="00B2702D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2FCB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62F"/>
    <w:rsid w:val="00B92CED"/>
    <w:rsid w:val="00B92FF8"/>
    <w:rsid w:val="00B93454"/>
    <w:rsid w:val="00B935A7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0AC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B5A"/>
    <w:rsid w:val="00C27C45"/>
    <w:rsid w:val="00C3137E"/>
    <w:rsid w:val="00C31BA5"/>
    <w:rsid w:val="00C31D66"/>
    <w:rsid w:val="00C32FA7"/>
    <w:rsid w:val="00C331F5"/>
    <w:rsid w:val="00C33F99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47AE5"/>
    <w:rsid w:val="00C500B5"/>
    <w:rsid w:val="00C5010D"/>
    <w:rsid w:val="00C5097D"/>
    <w:rsid w:val="00C50BA6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6C"/>
    <w:rsid w:val="00C755E3"/>
    <w:rsid w:val="00C75D2F"/>
    <w:rsid w:val="00C76D90"/>
    <w:rsid w:val="00C76E3C"/>
    <w:rsid w:val="00C7702F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5DC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7A97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1AB0"/>
    <w:rsid w:val="00CE277C"/>
    <w:rsid w:val="00CE292F"/>
    <w:rsid w:val="00CE2C47"/>
    <w:rsid w:val="00CE4A12"/>
    <w:rsid w:val="00CE4B16"/>
    <w:rsid w:val="00CE59DC"/>
    <w:rsid w:val="00CE5B18"/>
    <w:rsid w:val="00CE5EBF"/>
    <w:rsid w:val="00CE63F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9C1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4F75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17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771"/>
    <w:rsid w:val="00D80BDA"/>
    <w:rsid w:val="00D81017"/>
    <w:rsid w:val="00D820E2"/>
    <w:rsid w:val="00D823C6"/>
    <w:rsid w:val="00D83480"/>
    <w:rsid w:val="00D83497"/>
    <w:rsid w:val="00D84E2F"/>
    <w:rsid w:val="00D853A5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DA1"/>
    <w:rsid w:val="00DA70FE"/>
    <w:rsid w:val="00DA716E"/>
    <w:rsid w:val="00DB0292"/>
    <w:rsid w:val="00DB19A3"/>
    <w:rsid w:val="00DB27F9"/>
    <w:rsid w:val="00DB377D"/>
    <w:rsid w:val="00DB4F51"/>
    <w:rsid w:val="00DB50C5"/>
    <w:rsid w:val="00DB5440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1CF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2A5F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3016"/>
    <w:rsid w:val="00E04BB2"/>
    <w:rsid w:val="00E05500"/>
    <w:rsid w:val="00E060FC"/>
    <w:rsid w:val="00E06D0A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3C7A"/>
    <w:rsid w:val="00E140BD"/>
    <w:rsid w:val="00E14C1C"/>
    <w:rsid w:val="00E151C0"/>
    <w:rsid w:val="00E15432"/>
    <w:rsid w:val="00E158A7"/>
    <w:rsid w:val="00E158E4"/>
    <w:rsid w:val="00E16C70"/>
    <w:rsid w:val="00E171C7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328"/>
    <w:rsid w:val="00E32608"/>
    <w:rsid w:val="00E32B0C"/>
    <w:rsid w:val="00E32B8E"/>
    <w:rsid w:val="00E3370E"/>
    <w:rsid w:val="00E3484E"/>
    <w:rsid w:val="00E34B6E"/>
    <w:rsid w:val="00E3526B"/>
    <w:rsid w:val="00E364CC"/>
    <w:rsid w:val="00E36A2A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62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4C7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DC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C13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65B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07CA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43BC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7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4E4D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6B39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7DE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1F0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24"/>
    <w:rsid w:val="00FB3344"/>
    <w:rsid w:val="00FB3775"/>
    <w:rsid w:val="00FB3CA6"/>
    <w:rsid w:val="00FB413D"/>
    <w:rsid w:val="00FB4C80"/>
    <w:rsid w:val="00FB5944"/>
    <w:rsid w:val="00FB5AE1"/>
    <w:rsid w:val="00FB6087"/>
    <w:rsid w:val="00FB60C3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47E"/>
    <w:rsid w:val="00FD2E88"/>
    <w:rsid w:val="00FD3B87"/>
    <w:rsid w:val="00FD4578"/>
    <w:rsid w:val="00FD47ED"/>
    <w:rsid w:val="00FD6C7C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6C9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6C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6C9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C50BA6"/>
    <w:rPr>
      <w:rFonts w:ascii="Calibri" w:eastAsia="Calibri" w:hAnsi="Calibri"/>
      <w:sz w:val="22"/>
      <w:szCs w:val="22"/>
      <w:lang w:val="en-US"/>
    </w:rPr>
  </w:style>
  <w:style w:type="character" w:customStyle="1" w:styleId="bulletChar">
    <w:name w:val="bullet Char"/>
    <w:basedOn w:val="DefaultParagraphFont"/>
    <w:link w:val="bullet"/>
    <w:locked/>
    <w:rsid w:val="000F25E9"/>
  </w:style>
  <w:style w:type="paragraph" w:customStyle="1" w:styleId="bullet">
    <w:name w:val="bullet"/>
    <w:basedOn w:val="Normal"/>
    <w:link w:val="bulletChar"/>
    <w:rsid w:val="000F25E9"/>
    <w:pPr>
      <w:numPr>
        <w:numId w:val="22"/>
      </w:numPr>
      <w:spacing w:after="60" w:line="240" w:lineRule="auto"/>
      <w:contextualSpacing/>
      <w:jc w:val="both"/>
    </w:pPr>
    <w:rPr>
      <w:rFonts w:ascii="CG Times (WN)" w:eastAsia="SimSun" w:hAnsi="CG Times (WN)" w:cs="Times New Roman"/>
      <w:sz w:val="20"/>
      <w:szCs w:val="20"/>
      <w:lang w:val="en-CA"/>
    </w:rPr>
  </w:style>
  <w:style w:type="character" w:customStyle="1" w:styleId="ReferenceChar">
    <w:name w:val="Reference Char"/>
    <w:link w:val="Reference"/>
    <w:locked/>
    <w:rsid w:val="00277862"/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D49B8-0682-4521-922B-AD3BE485E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2018-11-03T02:05:00Z</dcterms:created>
  <dcterms:modified xsi:type="dcterms:W3CDTF">2018-11-03T02:07:00Z</dcterms:modified>
  <cp:category/>
</cp:coreProperties>
</file>